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B441" w14:textId="32087BC9" w:rsidR="002653E0" w:rsidRPr="005D736A" w:rsidRDefault="002653E0" w:rsidP="002653E0">
      <w:pPr>
        <w:tabs>
          <w:tab w:val="left" w:pos="1800"/>
          <w:tab w:val="center" w:pos="4536"/>
          <w:tab w:val="right" w:pos="9070"/>
        </w:tabs>
        <w:ind w:left="1800" w:hanging="1800"/>
        <w:jc w:val="both"/>
        <w:rPr>
          <w:rFonts w:ascii="Arial" w:eastAsia="Tahoma" w:hAnsi="Arial" w:cs="Arial"/>
          <w:b/>
          <w:bCs/>
          <w:i/>
          <w:sz w:val="22"/>
          <w:szCs w:val="22"/>
        </w:rPr>
      </w:pPr>
      <w:r w:rsidRPr="005D736A">
        <w:rPr>
          <w:rFonts w:ascii="Arial" w:eastAsia="Tahoma" w:hAnsi="Arial" w:cs="Arial"/>
          <w:b/>
          <w:bCs/>
          <w:sz w:val="22"/>
          <w:szCs w:val="22"/>
        </w:rPr>
        <w:t>3GPP TSG-RAN WG2 Meeting #11</w:t>
      </w:r>
      <w:r w:rsidR="00872187">
        <w:rPr>
          <w:rFonts w:ascii="Arial" w:eastAsia="Tahoma" w:hAnsi="Arial" w:cs="Arial"/>
          <w:b/>
          <w:bCs/>
          <w:sz w:val="22"/>
          <w:szCs w:val="22"/>
        </w:rPr>
        <w:t>9</w:t>
      </w:r>
      <w:r w:rsidRPr="005D736A">
        <w:rPr>
          <w:rFonts w:ascii="Arial" w:eastAsia="Tahoma" w:hAnsi="Arial" w:cs="Arial"/>
          <w:b/>
          <w:bCs/>
          <w:sz w:val="22"/>
          <w:szCs w:val="22"/>
        </w:rPr>
        <w:t>-e</w:t>
      </w:r>
      <w:r w:rsidRPr="005D736A">
        <w:rPr>
          <w:rFonts w:ascii="Arial" w:eastAsia="Tahoma" w:hAnsi="Arial" w:cs="Arial"/>
          <w:b/>
          <w:bCs/>
          <w:sz w:val="22"/>
          <w:szCs w:val="22"/>
        </w:rPr>
        <w:tab/>
      </w:r>
      <w:r w:rsidRPr="005D736A">
        <w:rPr>
          <w:rFonts w:ascii="Arial" w:eastAsia="Tahoma" w:hAnsi="Arial" w:cs="Arial"/>
          <w:b/>
          <w:bCs/>
          <w:i/>
          <w:sz w:val="22"/>
          <w:szCs w:val="22"/>
        </w:rPr>
        <w:tab/>
      </w:r>
      <w:r w:rsidRPr="005D736A">
        <w:rPr>
          <w:rFonts w:ascii="Arial" w:eastAsia="Tahoma" w:hAnsi="Arial" w:cs="Arial"/>
          <w:b/>
          <w:bCs/>
          <w:sz w:val="22"/>
          <w:szCs w:val="22"/>
        </w:rPr>
        <w:t>R2-</w:t>
      </w:r>
      <w:r w:rsidRPr="005E3BCD">
        <w:rPr>
          <w:rFonts w:ascii="Arial" w:eastAsia="Tahoma" w:hAnsi="Arial" w:cs="Arial"/>
          <w:b/>
          <w:bCs/>
          <w:sz w:val="22"/>
          <w:szCs w:val="22"/>
        </w:rPr>
        <w:t>2</w:t>
      </w:r>
      <w:r w:rsidR="002922EC">
        <w:rPr>
          <w:rFonts w:ascii="Arial" w:eastAsia="Tahoma" w:hAnsi="Arial" w:cs="Arial"/>
          <w:b/>
          <w:bCs/>
          <w:sz w:val="22"/>
          <w:szCs w:val="22"/>
        </w:rPr>
        <w:t>20</w:t>
      </w:r>
      <w:r w:rsidR="002922EC" w:rsidRPr="002922EC">
        <w:rPr>
          <w:rFonts w:ascii="Arial" w:eastAsia="Tahoma" w:hAnsi="Arial" w:cs="Arial"/>
          <w:b/>
          <w:bCs/>
          <w:sz w:val="22"/>
          <w:szCs w:val="22"/>
        </w:rPr>
        <w:t>7747</w:t>
      </w:r>
    </w:p>
    <w:p w14:paraId="5E32DD2D" w14:textId="11672322" w:rsidR="002653E0" w:rsidRPr="00356A7F" w:rsidRDefault="002653E0" w:rsidP="002653E0">
      <w:pPr>
        <w:tabs>
          <w:tab w:val="left" w:pos="1800"/>
          <w:tab w:val="center" w:pos="4536"/>
          <w:tab w:val="right" w:pos="9639"/>
        </w:tabs>
        <w:spacing w:after="120"/>
        <w:ind w:left="1797" w:hanging="1797"/>
        <w:jc w:val="both"/>
        <w:rPr>
          <w:sz w:val="22"/>
        </w:rPr>
      </w:pPr>
      <w:r w:rsidRPr="005D736A">
        <w:rPr>
          <w:rFonts w:ascii="Arial" w:eastAsia="Tahoma" w:hAnsi="Arial" w:cs="Arial"/>
          <w:b/>
          <w:bCs/>
          <w:sz w:val="22"/>
          <w:szCs w:val="22"/>
        </w:rPr>
        <w:t>Electronic,</w:t>
      </w:r>
      <w:r>
        <w:rPr>
          <w:rFonts w:ascii="Arial" w:eastAsia="Tahoma" w:hAnsi="Arial" w:cs="Arial"/>
          <w:b/>
          <w:bCs/>
          <w:sz w:val="22"/>
          <w:szCs w:val="22"/>
        </w:rPr>
        <w:t xml:space="preserve"> </w:t>
      </w:r>
      <w:r w:rsidR="00872187">
        <w:rPr>
          <w:rFonts w:ascii="Arial" w:eastAsia="Tahoma" w:hAnsi="Arial" w:cs="Arial"/>
          <w:b/>
          <w:bCs/>
          <w:sz w:val="22"/>
          <w:szCs w:val="22"/>
        </w:rPr>
        <w:t>17</w:t>
      </w:r>
      <w:r w:rsidR="00872187">
        <w:rPr>
          <w:rFonts w:ascii="Arial" w:eastAsia="Tahoma" w:hAnsi="Arial" w:cs="Arial"/>
          <w:b/>
          <w:bCs/>
          <w:sz w:val="22"/>
          <w:szCs w:val="22"/>
          <w:vertAlign w:val="superscript"/>
        </w:rPr>
        <w:t>th</w:t>
      </w:r>
      <w:r>
        <w:rPr>
          <w:rFonts w:ascii="Arial" w:eastAsia="Tahoma" w:hAnsi="Arial" w:cs="Arial"/>
          <w:b/>
          <w:bCs/>
          <w:sz w:val="22"/>
          <w:szCs w:val="22"/>
        </w:rPr>
        <w:t xml:space="preserve"> </w:t>
      </w:r>
      <w:r w:rsidR="00872187">
        <w:rPr>
          <w:rFonts w:ascii="Arial" w:eastAsia="Tahoma" w:hAnsi="Arial" w:cs="Arial"/>
          <w:b/>
          <w:bCs/>
          <w:sz w:val="22"/>
          <w:szCs w:val="22"/>
        </w:rPr>
        <w:t>August</w:t>
      </w:r>
      <w:r w:rsidRPr="005D736A">
        <w:rPr>
          <w:rFonts w:ascii="Arial" w:eastAsia="Tahoma" w:hAnsi="Arial" w:cs="Arial"/>
          <w:b/>
          <w:bCs/>
          <w:sz w:val="22"/>
          <w:szCs w:val="22"/>
        </w:rPr>
        <w:t xml:space="preserve"> – </w:t>
      </w:r>
      <w:r w:rsidR="00872187">
        <w:rPr>
          <w:rFonts w:ascii="Arial" w:eastAsia="Tahoma" w:hAnsi="Arial" w:cs="Arial"/>
          <w:b/>
          <w:bCs/>
          <w:sz w:val="22"/>
          <w:szCs w:val="22"/>
        </w:rPr>
        <w:t>29</w:t>
      </w:r>
      <w:r w:rsidR="00872187">
        <w:rPr>
          <w:rFonts w:ascii="Arial" w:eastAsia="Tahoma" w:hAnsi="Arial" w:cs="Arial"/>
          <w:b/>
          <w:bCs/>
          <w:sz w:val="22"/>
          <w:szCs w:val="22"/>
          <w:vertAlign w:val="superscript"/>
        </w:rPr>
        <w:t>th</w:t>
      </w:r>
      <w:r>
        <w:rPr>
          <w:rFonts w:ascii="Arial" w:eastAsia="Tahoma" w:hAnsi="Arial" w:cs="Arial"/>
          <w:b/>
          <w:bCs/>
          <w:sz w:val="22"/>
          <w:szCs w:val="22"/>
        </w:rPr>
        <w:t xml:space="preserve"> </w:t>
      </w:r>
      <w:r w:rsidR="00872187">
        <w:rPr>
          <w:rFonts w:ascii="Arial" w:eastAsia="Tahoma" w:hAnsi="Arial" w:cs="Arial"/>
          <w:b/>
          <w:bCs/>
          <w:sz w:val="22"/>
          <w:szCs w:val="22"/>
        </w:rPr>
        <w:t>August</w:t>
      </w:r>
      <w:r w:rsidRPr="005D736A">
        <w:rPr>
          <w:rFonts w:ascii="Arial" w:eastAsia="Tahoma" w:hAnsi="Arial" w:cs="Arial"/>
          <w:b/>
          <w:bCs/>
          <w:sz w:val="22"/>
          <w:szCs w:val="22"/>
        </w:rPr>
        <w:t xml:space="preserve"> 202</w:t>
      </w:r>
      <w:r>
        <w:rPr>
          <w:rFonts w:ascii="Arial" w:eastAsia="Tahoma" w:hAnsi="Arial" w:cs="Arial"/>
          <w:b/>
          <w:bCs/>
          <w:sz w:val="22"/>
          <w:szCs w:val="22"/>
        </w:rPr>
        <w:t>2</w:t>
      </w:r>
    </w:p>
    <w:p w14:paraId="12157F2F" w14:textId="77777777" w:rsidR="00036AD3" w:rsidRDefault="00C875F9" w:rsidP="00C83E6E">
      <w:pPr>
        <w:pStyle w:val="ae"/>
        <w:tabs>
          <w:tab w:val="clear" w:pos="4536"/>
          <w:tab w:val="left" w:pos="1800"/>
        </w:tabs>
        <w:spacing w:after="0"/>
        <w:ind w:left="1797" w:hanging="1797"/>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eastAsia="宋体"/>
          <w:sz w:val="22"/>
          <w:lang w:eastAsia="zh-CN"/>
        </w:rPr>
        <w:t>, Guangdong Genius</w:t>
      </w:r>
    </w:p>
    <w:p w14:paraId="5DBCD868" w14:textId="0AADBC28" w:rsidR="00036AD3" w:rsidRDefault="00C875F9" w:rsidP="00C83E6E">
      <w:pPr>
        <w:pStyle w:val="ae"/>
        <w:tabs>
          <w:tab w:val="clear" w:pos="4536"/>
          <w:tab w:val="left" w:pos="1800"/>
        </w:tabs>
        <w:spacing w:after="0"/>
        <w:ind w:left="1797" w:hanging="1797"/>
        <w:rPr>
          <w:rFonts w:eastAsia="宋体"/>
          <w:sz w:val="22"/>
          <w:lang w:eastAsia="zh-CN"/>
        </w:rPr>
      </w:pPr>
      <w:r>
        <w:rPr>
          <w:rFonts w:eastAsia="宋体" w:hint="eastAsia"/>
          <w:sz w:val="22"/>
          <w:lang w:eastAsia="zh-CN"/>
        </w:rPr>
        <w:t>Title:</w:t>
      </w:r>
      <w:bookmarkStart w:id="0" w:name="Title"/>
      <w:bookmarkEnd w:id="0"/>
      <w:r>
        <w:rPr>
          <w:rFonts w:eastAsia="宋体" w:hint="eastAsia"/>
          <w:sz w:val="22"/>
          <w:lang w:eastAsia="zh-CN"/>
        </w:rPr>
        <w:tab/>
      </w:r>
      <w:r w:rsidR="00872187" w:rsidRPr="00872187">
        <w:rPr>
          <w:rFonts w:eastAsia="宋体"/>
          <w:sz w:val="22"/>
          <w:lang w:eastAsia="zh-CN"/>
        </w:rPr>
        <w:t>Discussion on NCD SSB for RedCap UEs</w:t>
      </w:r>
    </w:p>
    <w:p w14:paraId="30C6FFAC" w14:textId="2BA6EDDF" w:rsidR="00036AD3" w:rsidRDefault="00C875F9" w:rsidP="00C83E6E">
      <w:pPr>
        <w:pStyle w:val="ae"/>
        <w:tabs>
          <w:tab w:val="clear" w:pos="4536"/>
          <w:tab w:val="left" w:pos="1800"/>
        </w:tabs>
        <w:spacing w:after="0"/>
        <w:ind w:left="1797" w:hanging="1797"/>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r>
      <w:r w:rsidR="00872187">
        <w:rPr>
          <w:rFonts w:eastAsia="宋体"/>
          <w:sz w:val="22"/>
          <w:lang w:eastAsia="zh-CN"/>
        </w:rPr>
        <w:t>6</w:t>
      </w:r>
      <w:r>
        <w:rPr>
          <w:rFonts w:eastAsia="宋体"/>
          <w:sz w:val="22"/>
          <w:lang w:eastAsia="zh-CN"/>
        </w:rPr>
        <w:t>.</w:t>
      </w:r>
      <w:r>
        <w:rPr>
          <w:rFonts w:eastAsia="宋体" w:hint="eastAsia"/>
          <w:sz w:val="22"/>
          <w:lang w:eastAsia="zh-CN"/>
        </w:rPr>
        <w:t>12.</w:t>
      </w:r>
      <w:r w:rsidR="00872187">
        <w:rPr>
          <w:rFonts w:eastAsia="宋体"/>
          <w:sz w:val="22"/>
          <w:lang w:eastAsia="zh-CN"/>
        </w:rPr>
        <w:t>2.</w:t>
      </w:r>
      <w:r w:rsidR="002922EC">
        <w:rPr>
          <w:rFonts w:eastAsia="宋体"/>
          <w:sz w:val="22"/>
          <w:lang w:eastAsia="zh-CN"/>
        </w:rPr>
        <w:t>2</w:t>
      </w:r>
    </w:p>
    <w:p w14:paraId="5D4B46EB" w14:textId="77777777" w:rsidR="00036AD3" w:rsidRDefault="00C875F9" w:rsidP="00C83E6E">
      <w:pPr>
        <w:pStyle w:val="ae"/>
        <w:tabs>
          <w:tab w:val="clear" w:pos="4536"/>
          <w:tab w:val="left" w:pos="1800"/>
        </w:tabs>
        <w:spacing w:after="0"/>
        <w:ind w:left="1797" w:hanging="1797"/>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14:paraId="2BEC929E" w14:textId="77777777" w:rsidR="00036AD3" w:rsidRDefault="00C875F9" w:rsidP="00ED449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4"/>
      <w:bookmarkStart w:id="4" w:name="OLE_LINK13"/>
      <w:r>
        <w:rPr>
          <w:rFonts w:cs="Times New Roman" w:hint="eastAsia"/>
          <w:b w:val="0"/>
          <w:bCs w:val="0"/>
          <w:kern w:val="0"/>
          <w:sz w:val="36"/>
          <w:szCs w:val="20"/>
          <w:lang w:val="en-GB" w:eastAsia="en-GB"/>
        </w:rPr>
        <w:t>Introduction</w:t>
      </w:r>
    </w:p>
    <w:p w14:paraId="70CF18A5" w14:textId="6855A7EA" w:rsidR="00C1167E" w:rsidRDefault="00C1167E" w:rsidP="00C83E6E">
      <w:pPr>
        <w:suppressAutoHyphens/>
        <w:overflowPunct w:val="0"/>
        <w:autoSpaceDE w:val="0"/>
        <w:spacing w:after="120"/>
        <w:jc w:val="both"/>
        <w:textAlignment w:val="baseline"/>
        <w:rPr>
          <w:bCs/>
          <w:sz w:val="20"/>
          <w:szCs w:val="20"/>
        </w:rPr>
      </w:pPr>
      <w:r w:rsidRPr="009F71F6">
        <w:rPr>
          <w:bCs/>
          <w:sz w:val="20"/>
          <w:szCs w:val="20"/>
        </w:rPr>
        <w:t xml:space="preserve">In </w:t>
      </w:r>
      <w:r>
        <w:rPr>
          <w:bCs/>
          <w:sz w:val="20"/>
          <w:szCs w:val="20"/>
        </w:rPr>
        <w:t>RAN2#118-</w:t>
      </w:r>
      <w:r>
        <w:rPr>
          <w:rFonts w:hint="eastAsia"/>
          <w:bCs/>
          <w:sz w:val="20"/>
          <w:szCs w:val="20"/>
        </w:rPr>
        <w:t>e</w:t>
      </w:r>
      <w:r w:rsidRPr="009F71F6">
        <w:rPr>
          <w:bCs/>
          <w:sz w:val="20"/>
          <w:szCs w:val="20"/>
        </w:rPr>
        <w:t xml:space="preserve"> </w:t>
      </w:r>
      <w:r>
        <w:rPr>
          <w:bCs/>
          <w:sz w:val="20"/>
          <w:szCs w:val="20"/>
        </w:rPr>
        <w:t xml:space="preserve">meeting, we have discussed how to configure the sevingCellMO when NCD-SSB is configured and the intra-frequency measurement definition. </w:t>
      </w:r>
      <w:r w:rsidR="007B09C6">
        <w:rPr>
          <w:bCs/>
          <w:sz w:val="20"/>
          <w:szCs w:val="20"/>
        </w:rPr>
        <w:t>T</w:t>
      </w:r>
      <w:r>
        <w:rPr>
          <w:bCs/>
          <w:sz w:val="20"/>
          <w:szCs w:val="20"/>
        </w:rPr>
        <w:t>he following agreements have been achieved:</w:t>
      </w:r>
    </w:p>
    <w:p w14:paraId="53F172BE" w14:textId="77777777" w:rsidR="00C1167E" w:rsidRPr="00FA482C" w:rsidRDefault="00C1167E" w:rsidP="00C83E6E">
      <w:pPr>
        <w:widowControl w:val="0"/>
        <w:numPr>
          <w:ilvl w:val="0"/>
          <w:numId w:val="28"/>
        </w:numPr>
        <w:pBdr>
          <w:top w:val="single" w:sz="4" w:space="1" w:color="auto"/>
          <w:left w:val="single" w:sz="4" w:space="0" w:color="auto"/>
          <w:bottom w:val="single" w:sz="4" w:space="1" w:color="auto"/>
          <w:right w:val="single" w:sz="4" w:space="4" w:color="auto"/>
        </w:pBdr>
        <w:tabs>
          <w:tab w:val="left" w:pos="1622"/>
        </w:tabs>
        <w:jc w:val="both"/>
        <w:rPr>
          <w:rFonts w:eastAsia="MS Mincho"/>
          <w:sz w:val="20"/>
          <w:lang w:val="en-GB" w:eastAsia="en-GB"/>
        </w:rPr>
      </w:pPr>
      <w:r w:rsidRPr="00FA482C">
        <w:rPr>
          <w:rFonts w:eastAsia="MS Mincho"/>
          <w:sz w:val="20"/>
          <w:lang w:val="en-GB" w:eastAsia="en-GB"/>
        </w:rPr>
        <w:t xml:space="preserve">For how to indicate serving cell MO for RedCap UE, adopt solution A-2. </w:t>
      </w:r>
    </w:p>
    <w:p w14:paraId="70CBC627" w14:textId="77777777" w:rsidR="00C1167E" w:rsidRPr="00FA482C" w:rsidRDefault="00C1167E" w:rsidP="00C83E6E">
      <w:pPr>
        <w:pBdr>
          <w:top w:val="single" w:sz="4" w:space="1" w:color="auto"/>
          <w:left w:val="single" w:sz="4" w:space="0" w:color="auto"/>
          <w:bottom w:val="single" w:sz="4" w:space="1" w:color="auto"/>
          <w:right w:val="single" w:sz="4" w:space="4" w:color="auto"/>
        </w:pBdr>
        <w:tabs>
          <w:tab w:val="left" w:pos="1622"/>
        </w:tabs>
        <w:ind w:left="1622" w:hanging="363"/>
        <w:rPr>
          <w:rFonts w:eastAsia="MS Mincho"/>
          <w:sz w:val="20"/>
          <w:lang w:val="en-GB" w:eastAsia="en-GB"/>
        </w:rPr>
      </w:pPr>
      <w:r w:rsidRPr="00FA482C">
        <w:rPr>
          <w:rFonts w:eastAsia="MS Mincho"/>
          <w:sz w:val="20"/>
          <w:lang w:val="en-GB" w:eastAsia="en-GB"/>
        </w:rPr>
        <w:tab/>
        <w:t>Solution A-2: Optionally configures a BWP-specific servingCellMO under BWP-DownlinkDedicated IE when the BWP-DownlinkDedicated contains nonCellDefiningSSB-r17. If the field is present, the UE uses this servingCellMO for serving cell measurements, otherwise, the UE uses legacy servingCellMO IE under ServingCellConfig.</w:t>
      </w:r>
    </w:p>
    <w:p w14:paraId="547DABEB" w14:textId="77777777" w:rsidR="00C1167E" w:rsidRPr="00FA482C" w:rsidRDefault="00C1167E" w:rsidP="00C83E6E">
      <w:pPr>
        <w:widowControl w:val="0"/>
        <w:numPr>
          <w:ilvl w:val="0"/>
          <w:numId w:val="28"/>
        </w:numPr>
        <w:pBdr>
          <w:top w:val="single" w:sz="4" w:space="1" w:color="auto"/>
          <w:left w:val="single" w:sz="4" w:space="0" w:color="auto"/>
          <w:bottom w:val="single" w:sz="4" w:space="1" w:color="auto"/>
          <w:right w:val="single" w:sz="4" w:space="4" w:color="auto"/>
        </w:pBdr>
        <w:tabs>
          <w:tab w:val="left" w:pos="1622"/>
        </w:tabs>
        <w:jc w:val="both"/>
        <w:rPr>
          <w:rFonts w:eastAsia="MS Mincho"/>
          <w:sz w:val="20"/>
          <w:lang w:val="en-GB" w:eastAsia="en-GB"/>
        </w:rPr>
      </w:pPr>
      <w:r w:rsidRPr="00FA482C">
        <w:rPr>
          <w:rFonts w:eastAsia="MS Mincho"/>
          <w:sz w:val="20"/>
          <w:lang w:val="en-GB" w:eastAsia="en-GB"/>
        </w:rPr>
        <w:t xml:space="preserve">For the second measurement related question in R2-2204486, reply to RAN4 with the following RAN2 understandings: </w:t>
      </w:r>
    </w:p>
    <w:p w14:paraId="743949FC" w14:textId="77777777" w:rsidR="00C1167E" w:rsidRPr="009F71F6" w:rsidRDefault="00C1167E" w:rsidP="00C83E6E">
      <w:pPr>
        <w:pBdr>
          <w:top w:val="single" w:sz="4" w:space="1" w:color="auto"/>
          <w:left w:val="single" w:sz="4" w:space="0" w:color="auto"/>
          <w:bottom w:val="single" w:sz="4" w:space="1" w:color="auto"/>
          <w:right w:val="single" w:sz="4" w:space="4" w:color="auto"/>
        </w:pBdr>
        <w:tabs>
          <w:tab w:val="left" w:pos="1622"/>
        </w:tabs>
        <w:ind w:left="1622" w:hanging="363"/>
        <w:rPr>
          <w:rFonts w:eastAsia="MS Mincho"/>
          <w:sz w:val="20"/>
          <w:lang w:val="en-GB" w:eastAsia="en-GB"/>
        </w:rPr>
      </w:pPr>
      <w:r w:rsidRPr="00FA482C">
        <w:rPr>
          <w:rFonts w:eastAsia="MS Mincho"/>
          <w:sz w:val="20"/>
          <w:lang w:val="en-GB" w:eastAsia="en-GB"/>
        </w:rPr>
        <w:tab/>
        <w:t>From RAN2 signalling point of view, a BWP-specific servingCellMO is defined under BWP-DownlinkDedicated, the SSB defined in this servingCellMO is the reference SSB to be used for serving cell measurements when the UE is in this active BWP; if the field is absent, SSB defined in servingCellMO under ServingCellConfig is the reference SSB to be used for serving cell measurements. This reference SSB is used to define intra-frequency measurements.</w:t>
      </w:r>
    </w:p>
    <w:p w14:paraId="20E5F2A3" w14:textId="6E912B09" w:rsidR="00036AD3" w:rsidRDefault="00C875F9" w:rsidP="00C83E6E">
      <w:pPr>
        <w:pStyle w:val="aa"/>
        <w:rPr>
          <w:lang w:val="en-GB" w:eastAsia="en-GB"/>
        </w:rPr>
      </w:pPr>
      <w:r>
        <w:rPr>
          <w:rFonts w:hint="eastAsia"/>
          <w:lang w:val="en-GB" w:eastAsia="en-GB"/>
        </w:rPr>
        <w:t xml:space="preserve">In this </w:t>
      </w:r>
      <w:r w:rsidR="007A6CEF">
        <w:rPr>
          <w:lang w:val="en-GB" w:eastAsia="en-GB"/>
        </w:rPr>
        <w:t>contribution</w:t>
      </w:r>
      <w:r>
        <w:rPr>
          <w:rFonts w:hint="eastAsia"/>
          <w:lang w:val="en-GB" w:eastAsia="en-GB"/>
        </w:rPr>
        <w:t>, we</w:t>
      </w:r>
      <w:r w:rsidR="00327499">
        <w:rPr>
          <w:lang w:val="en-GB" w:eastAsia="en-GB"/>
        </w:rPr>
        <w:t xml:space="preserve"> would like to </w:t>
      </w:r>
      <w:r w:rsidR="00C1167E">
        <w:rPr>
          <w:lang w:val="en-GB" w:eastAsia="en-GB"/>
        </w:rPr>
        <w:t xml:space="preserve">further discuss the configuration on neighbour cell measurement and share </w:t>
      </w:r>
      <w:r>
        <w:rPr>
          <w:rFonts w:hint="eastAsia"/>
          <w:lang w:val="en-GB" w:eastAsia="en-GB"/>
        </w:rPr>
        <w:t>our views on</w:t>
      </w:r>
      <w:r w:rsidR="005D1D20">
        <w:rPr>
          <w:lang w:val="en-GB" w:eastAsia="en-GB"/>
        </w:rPr>
        <w:t xml:space="preserve"> the </w:t>
      </w:r>
      <w:r w:rsidR="002F0ECF" w:rsidRPr="002F0ECF">
        <w:rPr>
          <w:lang w:val="en-GB" w:eastAsia="en-GB"/>
        </w:rPr>
        <w:t xml:space="preserve">other </w:t>
      </w:r>
      <w:r w:rsidR="005D1D20">
        <w:rPr>
          <w:lang w:val="en-GB" w:eastAsia="en-GB"/>
        </w:rPr>
        <w:t>remain</w:t>
      </w:r>
      <w:r w:rsidR="00F8343D">
        <w:rPr>
          <w:lang w:val="en-GB" w:eastAsia="en-GB"/>
        </w:rPr>
        <w:t>ing</w:t>
      </w:r>
      <w:r w:rsidR="005D1D20">
        <w:rPr>
          <w:lang w:val="en-GB" w:eastAsia="en-GB"/>
        </w:rPr>
        <w:t xml:space="preserve"> issue </w:t>
      </w:r>
      <w:r w:rsidR="00F8343D">
        <w:rPr>
          <w:lang w:val="en-GB" w:eastAsia="en-GB"/>
        </w:rPr>
        <w:t xml:space="preserve">of </w:t>
      </w:r>
      <w:r w:rsidR="005D1D20">
        <w:rPr>
          <w:lang w:val="en-GB" w:eastAsia="en-GB"/>
        </w:rPr>
        <w:t>NCD-SSB</w:t>
      </w:r>
      <w:r w:rsidR="006D491A">
        <w:rPr>
          <w:lang w:val="en-GB" w:eastAsia="en-GB"/>
        </w:rPr>
        <w:t xml:space="preserve">. </w:t>
      </w:r>
    </w:p>
    <w:p w14:paraId="01B8A416" w14:textId="77777777" w:rsidR="00036AD3" w:rsidRDefault="00C875F9" w:rsidP="00ED449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DBC95AD" w14:textId="39179DDD" w:rsidR="009B62B7" w:rsidRDefault="009B501F" w:rsidP="00C96314">
      <w:pPr>
        <w:pStyle w:val="20"/>
        <w:keepLines/>
        <w:numPr>
          <w:ilvl w:val="1"/>
          <w:numId w:val="24"/>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N</w:t>
      </w:r>
      <w:r>
        <w:rPr>
          <w:rFonts w:eastAsia="宋体" w:hint="eastAsia"/>
          <w:b w:val="0"/>
          <w:sz w:val="30"/>
          <w:szCs w:val="30"/>
          <w:lang w:val="en-GB"/>
        </w:rPr>
        <w:t>eighbo</w:t>
      </w:r>
      <w:r w:rsidR="007B09C6">
        <w:rPr>
          <w:rFonts w:eastAsia="宋体"/>
          <w:b w:val="0"/>
          <w:sz w:val="30"/>
          <w:szCs w:val="30"/>
          <w:lang w:val="en-GB"/>
        </w:rPr>
        <w:t>u</w:t>
      </w:r>
      <w:r>
        <w:rPr>
          <w:rFonts w:eastAsia="宋体" w:hint="eastAsia"/>
          <w:b w:val="0"/>
          <w:sz w:val="30"/>
          <w:szCs w:val="30"/>
          <w:lang w:val="en-GB"/>
        </w:rPr>
        <w:t>r</w:t>
      </w:r>
      <w:r>
        <w:rPr>
          <w:rFonts w:eastAsia="宋体"/>
          <w:b w:val="0"/>
          <w:sz w:val="30"/>
          <w:szCs w:val="30"/>
          <w:lang w:val="en-GB"/>
        </w:rPr>
        <w:t xml:space="preserve"> </w:t>
      </w:r>
      <w:r>
        <w:rPr>
          <w:rFonts w:eastAsia="宋体" w:hint="eastAsia"/>
          <w:b w:val="0"/>
          <w:sz w:val="30"/>
          <w:szCs w:val="30"/>
          <w:lang w:val="en-GB"/>
        </w:rPr>
        <w:t>cell</w:t>
      </w:r>
      <w:r>
        <w:rPr>
          <w:rFonts w:eastAsia="宋体"/>
          <w:b w:val="0"/>
          <w:sz w:val="30"/>
          <w:szCs w:val="30"/>
          <w:lang w:val="en-GB"/>
        </w:rPr>
        <w:t xml:space="preserve"> measurements</w:t>
      </w:r>
    </w:p>
    <w:p w14:paraId="3BF397A3" w14:textId="20500AC8" w:rsidR="002D1CBF" w:rsidRDefault="005D626D" w:rsidP="00ED449C">
      <w:pPr>
        <w:suppressAutoHyphens/>
        <w:overflowPunct w:val="0"/>
        <w:autoSpaceDE w:val="0"/>
        <w:spacing w:after="120"/>
        <w:jc w:val="both"/>
        <w:textAlignment w:val="baseline"/>
        <w:rPr>
          <w:bCs/>
          <w:sz w:val="20"/>
          <w:szCs w:val="20"/>
        </w:rPr>
      </w:pPr>
      <w:r>
        <w:rPr>
          <w:bCs/>
          <w:sz w:val="20"/>
          <w:szCs w:val="20"/>
          <w:lang w:val="en-GB"/>
        </w:rPr>
        <w:t>In RAN2#11</w:t>
      </w:r>
      <w:r w:rsidR="00F8343D">
        <w:rPr>
          <w:bCs/>
          <w:sz w:val="20"/>
          <w:szCs w:val="20"/>
          <w:lang w:val="en-GB"/>
        </w:rPr>
        <w:t>8</w:t>
      </w:r>
      <w:r>
        <w:rPr>
          <w:bCs/>
          <w:sz w:val="20"/>
          <w:szCs w:val="20"/>
          <w:lang w:val="en-GB"/>
        </w:rPr>
        <w:t>-</w:t>
      </w:r>
      <w:r>
        <w:rPr>
          <w:rFonts w:hint="eastAsia"/>
          <w:bCs/>
          <w:sz w:val="20"/>
          <w:szCs w:val="20"/>
          <w:lang w:val="en-GB"/>
        </w:rPr>
        <w:t>e</w:t>
      </w:r>
      <w:r>
        <w:rPr>
          <w:bCs/>
          <w:sz w:val="20"/>
          <w:szCs w:val="20"/>
          <w:lang w:val="en-GB"/>
        </w:rPr>
        <w:t xml:space="preserve"> meeting, </w:t>
      </w:r>
      <w:r w:rsidR="009F71F6">
        <w:rPr>
          <w:bCs/>
          <w:sz w:val="20"/>
          <w:szCs w:val="20"/>
        </w:rPr>
        <w:t>companies</w:t>
      </w:r>
      <w:r>
        <w:rPr>
          <w:bCs/>
          <w:sz w:val="20"/>
          <w:szCs w:val="20"/>
        </w:rPr>
        <w:t xml:space="preserve"> </w:t>
      </w:r>
      <w:r w:rsidR="00DF7B5A" w:rsidRPr="00DF7B5A">
        <w:rPr>
          <w:bCs/>
          <w:sz w:val="20"/>
          <w:szCs w:val="20"/>
        </w:rPr>
        <w:t xml:space="preserve">discussed if there is any problem in applying existing neighbour cell measurements </w:t>
      </w:r>
      <w:r w:rsidR="00DF7B5A">
        <w:rPr>
          <w:bCs/>
          <w:sz w:val="20"/>
          <w:szCs w:val="20"/>
        </w:rPr>
        <w:t xml:space="preserve">framework to </w:t>
      </w:r>
      <w:r w:rsidR="00DF7B5A" w:rsidRPr="00DF7B5A">
        <w:rPr>
          <w:bCs/>
          <w:sz w:val="20"/>
          <w:szCs w:val="20"/>
        </w:rPr>
        <w:t>RedCap UE</w:t>
      </w:r>
      <w:r w:rsidR="00DF7B5A" w:rsidRPr="00DF7B5A">
        <w:rPr>
          <w:rFonts w:hint="eastAsia"/>
          <w:bCs/>
          <w:sz w:val="20"/>
          <w:szCs w:val="20"/>
        </w:rPr>
        <w:t>s</w:t>
      </w:r>
      <w:r w:rsidR="00DF7B5A">
        <w:rPr>
          <w:bCs/>
          <w:sz w:val="20"/>
          <w:szCs w:val="20"/>
        </w:rPr>
        <w:t xml:space="preserve"> in [1], however, </w:t>
      </w:r>
      <w:r w:rsidR="002D1CBF">
        <w:rPr>
          <w:bCs/>
          <w:sz w:val="20"/>
          <w:szCs w:val="20"/>
        </w:rPr>
        <w:t xml:space="preserve">there are split views between companies and no </w:t>
      </w:r>
      <w:r w:rsidR="00DF7B5A">
        <w:rPr>
          <w:bCs/>
          <w:sz w:val="20"/>
          <w:szCs w:val="20"/>
        </w:rPr>
        <w:t>conclusion</w:t>
      </w:r>
      <w:r w:rsidR="002D1CBF">
        <w:rPr>
          <w:bCs/>
          <w:sz w:val="20"/>
          <w:szCs w:val="20"/>
        </w:rPr>
        <w:t xml:space="preserve"> in </w:t>
      </w:r>
      <w:r w:rsidR="007B09C6">
        <w:rPr>
          <w:bCs/>
          <w:sz w:val="20"/>
          <w:szCs w:val="20"/>
        </w:rPr>
        <w:t xml:space="preserve">the </w:t>
      </w:r>
      <w:r w:rsidR="002D1CBF">
        <w:rPr>
          <w:bCs/>
          <w:sz w:val="20"/>
          <w:szCs w:val="20"/>
        </w:rPr>
        <w:t>last meeting</w:t>
      </w:r>
      <w:r w:rsidR="00DF7B5A">
        <w:rPr>
          <w:bCs/>
          <w:sz w:val="20"/>
          <w:szCs w:val="20"/>
        </w:rPr>
        <w:t>.</w:t>
      </w:r>
      <w:r w:rsidR="009350ED">
        <w:rPr>
          <w:bCs/>
          <w:sz w:val="20"/>
          <w:szCs w:val="20"/>
        </w:rPr>
        <w:t xml:space="preserve"> </w:t>
      </w:r>
    </w:p>
    <w:p w14:paraId="78F9582B" w14:textId="3F79020A" w:rsidR="00DF7B5A" w:rsidRDefault="007B09C6" w:rsidP="00ED449C">
      <w:pPr>
        <w:suppressAutoHyphens/>
        <w:overflowPunct w:val="0"/>
        <w:autoSpaceDE w:val="0"/>
        <w:spacing w:after="120"/>
        <w:jc w:val="both"/>
        <w:textAlignment w:val="baseline"/>
        <w:rPr>
          <w:bCs/>
          <w:sz w:val="20"/>
          <w:szCs w:val="20"/>
        </w:rPr>
      </w:pPr>
      <w:r>
        <w:rPr>
          <w:bCs/>
          <w:sz w:val="20"/>
          <w:szCs w:val="20"/>
        </w:rPr>
        <w:t>In d</w:t>
      </w:r>
      <w:r w:rsidR="009350ED">
        <w:rPr>
          <w:bCs/>
          <w:sz w:val="20"/>
          <w:szCs w:val="20"/>
        </w:rPr>
        <w:t>etail, we discuss</w:t>
      </w:r>
      <w:r w:rsidR="00F8343D">
        <w:rPr>
          <w:bCs/>
          <w:sz w:val="20"/>
          <w:szCs w:val="20"/>
        </w:rPr>
        <w:t>ed</w:t>
      </w:r>
      <w:r w:rsidR="009350ED">
        <w:rPr>
          <w:bCs/>
          <w:sz w:val="20"/>
          <w:szCs w:val="20"/>
        </w:rPr>
        <w:t xml:space="preserve"> how to perform neighbour cell measurements when the SSB used for serving cell measurement is changed. </w:t>
      </w:r>
      <w:r w:rsidR="009F71F6">
        <w:rPr>
          <w:bCs/>
          <w:sz w:val="20"/>
          <w:szCs w:val="20"/>
        </w:rPr>
        <w:t>The following</w:t>
      </w:r>
      <w:r w:rsidR="009350ED">
        <w:rPr>
          <w:bCs/>
          <w:sz w:val="20"/>
          <w:szCs w:val="20"/>
        </w:rPr>
        <w:t xml:space="preserve"> option</w:t>
      </w:r>
      <w:r w:rsidR="004D574B">
        <w:rPr>
          <w:bCs/>
          <w:sz w:val="20"/>
          <w:szCs w:val="20"/>
        </w:rPr>
        <w:t>s</w:t>
      </w:r>
      <w:r w:rsidR="009350ED">
        <w:rPr>
          <w:bCs/>
          <w:sz w:val="20"/>
          <w:szCs w:val="20"/>
        </w:rPr>
        <w:t xml:space="preserve"> are considered:</w:t>
      </w:r>
    </w:p>
    <w:p w14:paraId="7656EB1E" w14:textId="00801C93" w:rsidR="0011642D" w:rsidRPr="004D574B" w:rsidRDefault="004D574B" w:rsidP="00ED449C">
      <w:pPr>
        <w:pStyle w:val="af5"/>
        <w:numPr>
          <w:ilvl w:val="0"/>
          <w:numId w:val="27"/>
        </w:numPr>
        <w:suppressAutoHyphens/>
        <w:overflowPunct w:val="0"/>
        <w:autoSpaceDE w:val="0"/>
        <w:ind w:firstLineChars="0"/>
        <w:textAlignment w:val="baseline"/>
        <w:rPr>
          <w:rFonts w:ascii="Times New Roman" w:hAnsi="Times New Roman"/>
          <w:bCs/>
          <w:sz w:val="20"/>
          <w:szCs w:val="20"/>
        </w:rPr>
      </w:pPr>
      <w:r w:rsidRPr="004D574B">
        <w:rPr>
          <w:rFonts w:ascii="Times New Roman" w:hAnsi="Times New Roman"/>
          <w:b/>
          <w:sz w:val="20"/>
          <w:szCs w:val="20"/>
        </w:rPr>
        <w:t>Option 1</w:t>
      </w:r>
      <w:r>
        <w:rPr>
          <w:rFonts w:ascii="Times New Roman" w:hAnsi="Times New Roman"/>
          <w:bCs/>
          <w:sz w:val="20"/>
          <w:szCs w:val="20"/>
        </w:rPr>
        <w:t xml:space="preserve">: </w:t>
      </w:r>
      <w:r w:rsidR="0011642D" w:rsidRPr="0011642D">
        <w:rPr>
          <w:rFonts w:ascii="Times New Roman" w:hAnsi="Times New Roman"/>
          <w:bCs/>
          <w:sz w:val="20"/>
          <w:szCs w:val="20"/>
        </w:rPr>
        <w:t xml:space="preserve">Reusing the legacy principle: </w:t>
      </w:r>
      <w:r w:rsidR="00F8343D">
        <w:rPr>
          <w:rFonts w:ascii="Times New Roman" w:hAnsi="Times New Roman"/>
          <w:bCs/>
          <w:sz w:val="20"/>
          <w:szCs w:val="20"/>
        </w:rPr>
        <w:t>i</w:t>
      </w:r>
      <w:r>
        <w:rPr>
          <w:rFonts w:ascii="Times New Roman" w:hAnsi="Times New Roman"/>
          <w:bCs/>
          <w:sz w:val="20"/>
          <w:szCs w:val="20"/>
        </w:rPr>
        <w:t xml:space="preserve">t is up to the network to decide which target frequencies should be measured and the network can configure MOs </w:t>
      </w:r>
      <w:r>
        <w:rPr>
          <w:rFonts w:ascii="Times New Roman" w:hAnsi="Times New Roman" w:hint="eastAsia"/>
          <w:bCs/>
          <w:sz w:val="20"/>
          <w:szCs w:val="20"/>
        </w:rPr>
        <w:t>accord</w:t>
      </w:r>
      <w:r>
        <w:rPr>
          <w:rFonts w:ascii="Times New Roman" w:hAnsi="Times New Roman"/>
          <w:bCs/>
          <w:sz w:val="20"/>
          <w:szCs w:val="20"/>
        </w:rPr>
        <w:t xml:space="preserve">ingly. </w:t>
      </w:r>
      <w:r w:rsidR="0011642D" w:rsidRPr="004D574B">
        <w:rPr>
          <w:rFonts w:ascii="Times New Roman" w:hAnsi="Times New Roman"/>
          <w:bCs/>
          <w:sz w:val="20"/>
          <w:szCs w:val="20"/>
        </w:rPr>
        <w:t>UE is required to measure the M</w:t>
      </w:r>
      <w:r w:rsidRPr="004D574B">
        <w:rPr>
          <w:rFonts w:ascii="Times New Roman" w:hAnsi="Times New Roman"/>
          <w:bCs/>
          <w:sz w:val="20"/>
          <w:szCs w:val="20"/>
        </w:rPr>
        <w:t>O</w:t>
      </w:r>
      <w:r w:rsidR="0011642D" w:rsidRPr="004D574B">
        <w:rPr>
          <w:rFonts w:ascii="Times New Roman" w:hAnsi="Times New Roman"/>
          <w:bCs/>
          <w:sz w:val="20"/>
          <w:szCs w:val="20"/>
        </w:rPr>
        <w:t>s that are associated with measID, and for M</w:t>
      </w:r>
      <w:r w:rsidRPr="004D574B">
        <w:rPr>
          <w:rFonts w:ascii="Times New Roman" w:hAnsi="Times New Roman"/>
          <w:bCs/>
          <w:sz w:val="20"/>
          <w:szCs w:val="20"/>
        </w:rPr>
        <w:t>O</w:t>
      </w:r>
      <w:r w:rsidR="0011642D" w:rsidRPr="004D574B">
        <w:rPr>
          <w:rFonts w:ascii="Times New Roman" w:hAnsi="Times New Roman"/>
          <w:bCs/>
          <w:sz w:val="20"/>
          <w:szCs w:val="20"/>
        </w:rPr>
        <w:t>s that need gap assistance but gap isn’t configured, the UE will not measure those MOs.</w:t>
      </w:r>
    </w:p>
    <w:p w14:paraId="3DEF8CB5" w14:textId="39BA69A2" w:rsidR="00BB2BAA" w:rsidRPr="00295CC4" w:rsidRDefault="004D574B" w:rsidP="00ED449C">
      <w:pPr>
        <w:pStyle w:val="af5"/>
        <w:numPr>
          <w:ilvl w:val="0"/>
          <w:numId w:val="27"/>
        </w:numPr>
        <w:suppressAutoHyphens/>
        <w:overflowPunct w:val="0"/>
        <w:autoSpaceDE w:val="0"/>
        <w:ind w:firstLineChars="0"/>
        <w:textAlignment w:val="baseline"/>
        <w:rPr>
          <w:rFonts w:ascii="Times New Roman" w:hAnsi="Times New Roman"/>
          <w:bCs/>
          <w:sz w:val="20"/>
          <w:szCs w:val="20"/>
        </w:rPr>
      </w:pPr>
      <w:r w:rsidRPr="004D574B">
        <w:rPr>
          <w:rFonts w:ascii="Times New Roman" w:hAnsi="Times New Roman"/>
          <w:b/>
          <w:sz w:val="20"/>
          <w:szCs w:val="20"/>
        </w:rPr>
        <w:t>Option 2:</w:t>
      </w:r>
      <w:r w:rsidR="00FA482C">
        <w:rPr>
          <w:rFonts w:ascii="Times New Roman" w:hAnsi="Times New Roman"/>
          <w:b/>
          <w:sz w:val="20"/>
          <w:szCs w:val="20"/>
        </w:rPr>
        <w:t xml:space="preserve"> </w:t>
      </w:r>
      <w:r w:rsidR="00BB2BAA" w:rsidRPr="00295CC4">
        <w:rPr>
          <w:rFonts w:ascii="Times New Roman" w:hAnsi="Times New Roman"/>
          <w:bCs/>
          <w:sz w:val="20"/>
          <w:szCs w:val="20"/>
        </w:rPr>
        <w:t xml:space="preserve">When </w:t>
      </w:r>
      <w:r w:rsidR="00295CC4" w:rsidRPr="00295CC4">
        <w:rPr>
          <w:rFonts w:ascii="Times New Roman" w:hAnsi="Times New Roman"/>
          <w:bCs/>
          <w:sz w:val="20"/>
          <w:szCs w:val="20"/>
        </w:rPr>
        <w:t xml:space="preserve">DL BWP doesn’t contain NCD-SSB and </w:t>
      </w:r>
      <w:r w:rsidR="00BB2BAA" w:rsidRPr="00295CC4">
        <w:rPr>
          <w:rFonts w:ascii="Times New Roman" w:hAnsi="Times New Roman"/>
          <w:bCs/>
          <w:sz w:val="20"/>
          <w:szCs w:val="20"/>
        </w:rPr>
        <w:t xml:space="preserve">servingcellMO is based on CD-SSB, the intra-frequency will be based on CD-SSB; </w:t>
      </w:r>
      <w:r w:rsidR="00295CC4" w:rsidRPr="00295CC4">
        <w:rPr>
          <w:rFonts w:ascii="Times New Roman" w:hAnsi="Times New Roman"/>
          <w:bCs/>
          <w:sz w:val="20"/>
          <w:szCs w:val="20"/>
        </w:rPr>
        <w:t>When DL BWP contains NCD-SSB and servingcellMO is based on NCD-SSB, the intra-frequency will be based on NCD-SSB or CD-SSB based on NW configuration</w:t>
      </w:r>
      <w:r w:rsidR="00F8343D">
        <w:rPr>
          <w:rFonts w:ascii="Times New Roman" w:hAnsi="Times New Roman"/>
          <w:bCs/>
          <w:sz w:val="20"/>
          <w:szCs w:val="20"/>
        </w:rPr>
        <w:t>, the detail solution proposed is as follows:</w:t>
      </w:r>
    </w:p>
    <w:p w14:paraId="2D09E5BB" w14:textId="411ACD71" w:rsidR="0011642D" w:rsidRDefault="00FA482C" w:rsidP="00ED449C">
      <w:pPr>
        <w:pStyle w:val="af5"/>
        <w:numPr>
          <w:ilvl w:val="1"/>
          <w:numId w:val="27"/>
        </w:numPr>
        <w:suppressAutoHyphens/>
        <w:overflowPunct w:val="0"/>
        <w:autoSpaceDE w:val="0"/>
        <w:ind w:firstLineChars="0"/>
        <w:textAlignment w:val="baseline"/>
        <w:rPr>
          <w:rFonts w:ascii="Times New Roman" w:hAnsi="Times New Roman"/>
          <w:bCs/>
          <w:sz w:val="20"/>
          <w:szCs w:val="20"/>
        </w:rPr>
      </w:pPr>
      <w:r w:rsidRPr="009F71F6">
        <w:rPr>
          <w:rFonts w:ascii="Times New Roman" w:hAnsi="Times New Roman"/>
          <w:bCs/>
          <w:sz w:val="20"/>
          <w:szCs w:val="20"/>
        </w:rPr>
        <w:t>C</w:t>
      </w:r>
      <w:r w:rsidRPr="009F71F6">
        <w:rPr>
          <w:rFonts w:ascii="Times New Roman" w:hAnsi="Times New Roman" w:hint="eastAsia"/>
          <w:bCs/>
          <w:sz w:val="20"/>
          <w:szCs w:val="20"/>
        </w:rPr>
        <w:t>o</w:t>
      </w:r>
      <w:r w:rsidRPr="009F71F6">
        <w:rPr>
          <w:rFonts w:ascii="Times New Roman" w:hAnsi="Times New Roman"/>
          <w:bCs/>
          <w:sz w:val="20"/>
          <w:szCs w:val="20"/>
        </w:rPr>
        <w:t>nfig BWP-specific MO</w:t>
      </w:r>
      <w:r w:rsidRPr="009F71F6">
        <w:rPr>
          <w:rFonts w:ascii="Times New Roman" w:hAnsi="Times New Roman" w:hint="eastAsia"/>
          <w:bCs/>
          <w:sz w:val="20"/>
          <w:szCs w:val="20"/>
        </w:rPr>
        <w:t>s</w:t>
      </w:r>
      <w:r w:rsidRPr="009F71F6">
        <w:rPr>
          <w:rFonts w:ascii="Times New Roman" w:hAnsi="Times New Roman"/>
          <w:bCs/>
          <w:sz w:val="20"/>
          <w:szCs w:val="20"/>
        </w:rPr>
        <w:t xml:space="preserve"> in BWP-DownlinkDedicated, UE uses th</w:t>
      </w:r>
      <w:r w:rsidR="007B09C6">
        <w:rPr>
          <w:rFonts w:ascii="Times New Roman" w:hAnsi="Times New Roman"/>
          <w:bCs/>
          <w:sz w:val="20"/>
          <w:szCs w:val="20"/>
        </w:rPr>
        <w:t>ese</w:t>
      </w:r>
      <w:r w:rsidRPr="009F71F6">
        <w:rPr>
          <w:rFonts w:ascii="Times New Roman" w:hAnsi="Times New Roman"/>
          <w:bCs/>
          <w:sz w:val="20"/>
          <w:szCs w:val="20"/>
        </w:rPr>
        <w:t xml:space="preserve"> BWP-spe</w:t>
      </w:r>
      <w:r w:rsidR="009F71F6" w:rsidRPr="009F71F6">
        <w:rPr>
          <w:rFonts w:ascii="Times New Roman" w:hAnsi="Times New Roman"/>
          <w:bCs/>
          <w:sz w:val="20"/>
          <w:szCs w:val="20"/>
        </w:rPr>
        <w:t>ci</w:t>
      </w:r>
      <w:r w:rsidRPr="009F71F6">
        <w:rPr>
          <w:rFonts w:ascii="Times New Roman" w:hAnsi="Times New Roman"/>
          <w:bCs/>
          <w:sz w:val="20"/>
          <w:szCs w:val="20"/>
        </w:rPr>
        <w:t>fic M</w:t>
      </w:r>
      <w:r w:rsidR="009F71F6" w:rsidRPr="009F71F6">
        <w:rPr>
          <w:rFonts w:ascii="Times New Roman" w:hAnsi="Times New Roman"/>
          <w:bCs/>
          <w:sz w:val="20"/>
          <w:szCs w:val="20"/>
        </w:rPr>
        <w:t>O</w:t>
      </w:r>
      <w:r w:rsidRPr="009F71F6">
        <w:rPr>
          <w:rFonts w:ascii="Times New Roman" w:hAnsi="Times New Roman"/>
          <w:bCs/>
          <w:sz w:val="20"/>
          <w:szCs w:val="20"/>
        </w:rPr>
        <w:t>s</w:t>
      </w:r>
      <w:r w:rsidR="009F71F6" w:rsidRPr="009F71F6">
        <w:rPr>
          <w:rFonts w:ascii="Times New Roman" w:hAnsi="Times New Roman"/>
          <w:bCs/>
          <w:sz w:val="20"/>
          <w:szCs w:val="20"/>
        </w:rPr>
        <w:t xml:space="preserve"> for </w:t>
      </w:r>
      <w:r w:rsidR="009F71F6">
        <w:rPr>
          <w:rFonts w:ascii="Times New Roman" w:hAnsi="Times New Roman"/>
          <w:bCs/>
          <w:sz w:val="20"/>
          <w:szCs w:val="20"/>
        </w:rPr>
        <w:lastRenderedPageBreak/>
        <w:t xml:space="preserve">intra-frequency </w:t>
      </w:r>
      <w:r w:rsidR="009F71F6" w:rsidRPr="009F71F6">
        <w:rPr>
          <w:rFonts w:ascii="Times New Roman" w:hAnsi="Times New Roman"/>
          <w:bCs/>
          <w:sz w:val="20"/>
          <w:szCs w:val="20"/>
        </w:rPr>
        <w:t>neighbo</w:t>
      </w:r>
      <w:r w:rsidR="009F71F6">
        <w:rPr>
          <w:rFonts w:ascii="Times New Roman" w:hAnsi="Times New Roman"/>
          <w:bCs/>
          <w:sz w:val="20"/>
          <w:szCs w:val="20"/>
        </w:rPr>
        <w:t>u</w:t>
      </w:r>
      <w:r w:rsidR="009F71F6" w:rsidRPr="009F71F6">
        <w:rPr>
          <w:rFonts w:ascii="Times New Roman" w:hAnsi="Times New Roman"/>
          <w:bCs/>
          <w:sz w:val="20"/>
          <w:szCs w:val="20"/>
        </w:rPr>
        <w:t xml:space="preserve">r cell measurements when the BWP-specific servingCellMO is configured under </w:t>
      </w:r>
      <w:r w:rsidR="009F71F6">
        <w:rPr>
          <w:rFonts w:ascii="Times New Roman" w:hAnsi="Times New Roman"/>
          <w:bCs/>
          <w:sz w:val="20"/>
          <w:szCs w:val="20"/>
        </w:rPr>
        <w:t xml:space="preserve">this BWP-DownlinkDedicated. </w:t>
      </w:r>
    </w:p>
    <w:p w14:paraId="73D74CE5" w14:textId="339E5066" w:rsidR="00A476E5" w:rsidRDefault="00A476E5" w:rsidP="00ED449C">
      <w:pPr>
        <w:suppressAutoHyphens/>
        <w:overflowPunct w:val="0"/>
        <w:autoSpaceDE w:val="0"/>
        <w:spacing w:after="120"/>
        <w:jc w:val="both"/>
        <w:textAlignment w:val="baseline"/>
        <w:rPr>
          <w:bCs/>
          <w:sz w:val="20"/>
          <w:szCs w:val="20"/>
        </w:rPr>
      </w:pPr>
      <w:r>
        <w:rPr>
          <w:bCs/>
          <w:sz w:val="20"/>
          <w:szCs w:val="20"/>
        </w:rPr>
        <w:t>According to the specification</w:t>
      </w:r>
      <w:r w:rsidR="00F8343D">
        <w:rPr>
          <w:bCs/>
          <w:sz w:val="20"/>
          <w:szCs w:val="20"/>
        </w:rPr>
        <w:t xml:space="preserve">, </w:t>
      </w:r>
      <w:r>
        <w:rPr>
          <w:bCs/>
          <w:sz w:val="20"/>
          <w:szCs w:val="20"/>
        </w:rPr>
        <w:t>UE may perform RRM measurement on serving cell and neighbour cell</w:t>
      </w:r>
      <w:r w:rsidR="00F9761E">
        <w:rPr>
          <w:bCs/>
          <w:sz w:val="20"/>
          <w:szCs w:val="20"/>
        </w:rPr>
        <w:t>s</w:t>
      </w:r>
      <w:r>
        <w:rPr>
          <w:bCs/>
          <w:sz w:val="20"/>
          <w:szCs w:val="20"/>
        </w:rPr>
        <w:t xml:space="preserve"> according to the configuration in </w:t>
      </w:r>
      <w:r w:rsidR="00F8343D" w:rsidRPr="0018407E">
        <w:rPr>
          <w:bCs/>
          <w:i/>
          <w:iCs/>
          <w:sz w:val="20"/>
          <w:szCs w:val="20"/>
        </w:rPr>
        <w:t>MeasObjectToAddModList</w:t>
      </w:r>
      <w:r>
        <w:rPr>
          <w:bCs/>
          <w:sz w:val="20"/>
          <w:szCs w:val="20"/>
        </w:rPr>
        <w:t xml:space="preserve">. </w:t>
      </w:r>
      <w:r w:rsidR="00D160B9">
        <w:rPr>
          <w:bCs/>
          <w:sz w:val="20"/>
          <w:szCs w:val="20"/>
        </w:rPr>
        <w:t>Since we have introduced NCD-SSB in Rel-17, the network may configure NCD-SSB</w:t>
      </w:r>
      <w:r w:rsidR="00F9761E">
        <w:rPr>
          <w:bCs/>
          <w:sz w:val="20"/>
          <w:szCs w:val="20"/>
        </w:rPr>
        <w:t xml:space="preserve"> for RRM measurement</w:t>
      </w:r>
      <w:r w:rsidR="00D160B9">
        <w:rPr>
          <w:bCs/>
          <w:sz w:val="20"/>
          <w:szCs w:val="20"/>
        </w:rPr>
        <w:t xml:space="preserve"> in </w:t>
      </w:r>
      <w:r w:rsidR="00D160B9" w:rsidRPr="00F9761E">
        <w:rPr>
          <w:bCs/>
          <w:i/>
          <w:iCs/>
          <w:sz w:val="20"/>
          <w:szCs w:val="20"/>
        </w:rPr>
        <w:t>measconfig</w:t>
      </w:r>
      <w:r w:rsidR="00D160B9">
        <w:rPr>
          <w:bCs/>
          <w:sz w:val="20"/>
          <w:szCs w:val="20"/>
        </w:rPr>
        <w:t>.</w:t>
      </w:r>
      <w:r w:rsidR="0018407E">
        <w:rPr>
          <w:bCs/>
          <w:sz w:val="20"/>
          <w:szCs w:val="20"/>
        </w:rPr>
        <w:t xml:space="preserve"> Assuming </w:t>
      </w:r>
      <w:r w:rsidR="007B09C6">
        <w:rPr>
          <w:bCs/>
          <w:sz w:val="20"/>
          <w:szCs w:val="20"/>
        </w:rPr>
        <w:t xml:space="preserve">a serving </w:t>
      </w:r>
      <w:r w:rsidR="00276827">
        <w:rPr>
          <w:bCs/>
          <w:sz w:val="20"/>
          <w:szCs w:val="20"/>
        </w:rPr>
        <w:t>cell</w:t>
      </w:r>
      <w:r w:rsidR="007B09C6">
        <w:rPr>
          <w:bCs/>
          <w:sz w:val="20"/>
          <w:szCs w:val="20"/>
        </w:rPr>
        <w:t xml:space="preserve"> of a RedCap UE </w:t>
      </w:r>
      <w:r w:rsidR="00276827">
        <w:rPr>
          <w:bCs/>
          <w:sz w:val="20"/>
          <w:szCs w:val="20"/>
        </w:rPr>
        <w:t xml:space="preserve">whose CD-SSB is denoted as CD-SSB#1, in which </w:t>
      </w:r>
      <w:r w:rsidR="0018407E">
        <w:rPr>
          <w:bCs/>
          <w:sz w:val="20"/>
          <w:szCs w:val="20"/>
        </w:rPr>
        <w:t>there is no NCD-SSB in BWP#1 and there is NCD-SSB</w:t>
      </w:r>
      <w:r w:rsidR="00276827">
        <w:rPr>
          <w:bCs/>
          <w:sz w:val="20"/>
          <w:szCs w:val="20"/>
        </w:rPr>
        <w:t xml:space="preserve"> which is denoted as NCD-SSB#1 </w:t>
      </w:r>
      <w:r w:rsidR="0018407E">
        <w:rPr>
          <w:bCs/>
          <w:sz w:val="20"/>
          <w:szCs w:val="20"/>
        </w:rPr>
        <w:t xml:space="preserve">in BWP#2, </w:t>
      </w:r>
      <w:r w:rsidR="007B09C6">
        <w:rPr>
          <w:bCs/>
          <w:sz w:val="20"/>
          <w:szCs w:val="20"/>
        </w:rPr>
        <w:t>and</w:t>
      </w:r>
      <w:r w:rsidR="0018407E">
        <w:rPr>
          <w:bCs/>
          <w:sz w:val="20"/>
          <w:szCs w:val="20"/>
        </w:rPr>
        <w:t xml:space="preserve"> </w:t>
      </w:r>
      <w:r w:rsidR="007B09C6">
        <w:rPr>
          <w:bCs/>
          <w:sz w:val="20"/>
          <w:szCs w:val="20"/>
        </w:rPr>
        <w:t>the</w:t>
      </w:r>
      <w:r w:rsidR="0018407E">
        <w:rPr>
          <w:bCs/>
          <w:sz w:val="20"/>
          <w:szCs w:val="20"/>
        </w:rPr>
        <w:t xml:space="preserve"> RedCap UE is on BWP#1 in time</w:t>
      </w:r>
      <w:r w:rsidR="00705FCD">
        <w:rPr>
          <w:bCs/>
          <w:sz w:val="20"/>
          <w:szCs w:val="20"/>
        </w:rPr>
        <w:t>#</w:t>
      </w:r>
      <w:r w:rsidR="0018407E">
        <w:rPr>
          <w:bCs/>
          <w:sz w:val="20"/>
          <w:szCs w:val="20"/>
        </w:rPr>
        <w:t>1 and switch to BWP#2 in time</w:t>
      </w:r>
      <w:r w:rsidR="003B4373">
        <w:rPr>
          <w:bCs/>
          <w:sz w:val="20"/>
          <w:szCs w:val="20"/>
        </w:rPr>
        <w:t>#</w:t>
      </w:r>
      <w:r w:rsidR="0018407E">
        <w:rPr>
          <w:bCs/>
          <w:sz w:val="20"/>
          <w:szCs w:val="20"/>
        </w:rPr>
        <w:t>2. Then based on the agreement in RAN2#118-e</w:t>
      </w:r>
      <w:r w:rsidR="007B09C6">
        <w:rPr>
          <w:bCs/>
          <w:sz w:val="20"/>
          <w:szCs w:val="20"/>
        </w:rPr>
        <w:t xml:space="preserve">, </w:t>
      </w:r>
      <w:r w:rsidR="00D25E28">
        <w:rPr>
          <w:bCs/>
          <w:sz w:val="20"/>
          <w:szCs w:val="20"/>
        </w:rPr>
        <w:t xml:space="preserve">the </w:t>
      </w:r>
      <w:r w:rsidR="0018407E">
        <w:rPr>
          <w:rFonts w:hint="eastAsia"/>
          <w:bCs/>
          <w:sz w:val="20"/>
          <w:szCs w:val="20"/>
        </w:rPr>
        <w:t>U</w:t>
      </w:r>
      <w:r w:rsidR="0018407E">
        <w:rPr>
          <w:bCs/>
          <w:sz w:val="20"/>
          <w:szCs w:val="20"/>
        </w:rPr>
        <w:t>E in time</w:t>
      </w:r>
      <w:r w:rsidR="003B4373">
        <w:rPr>
          <w:bCs/>
          <w:sz w:val="20"/>
          <w:szCs w:val="20"/>
        </w:rPr>
        <w:t>#</w:t>
      </w:r>
      <w:r w:rsidR="0018407E">
        <w:rPr>
          <w:bCs/>
          <w:sz w:val="20"/>
          <w:szCs w:val="20"/>
        </w:rPr>
        <w:t xml:space="preserve">1 will perform intra-frequency </w:t>
      </w:r>
      <w:r w:rsidR="00F9761E">
        <w:rPr>
          <w:bCs/>
          <w:sz w:val="20"/>
          <w:szCs w:val="20"/>
        </w:rPr>
        <w:t xml:space="preserve">measurement </w:t>
      </w:r>
      <w:r w:rsidR="0018407E">
        <w:rPr>
          <w:bCs/>
          <w:sz w:val="20"/>
          <w:szCs w:val="20"/>
        </w:rPr>
        <w:t>on CD-SSB</w:t>
      </w:r>
      <w:r w:rsidR="00276827">
        <w:rPr>
          <w:bCs/>
          <w:sz w:val="20"/>
          <w:szCs w:val="20"/>
        </w:rPr>
        <w:t xml:space="preserve">#1 </w:t>
      </w:r>
      <w:r w:rsidR="00F9761E">
        <w:rPr>
          <w:bCs/>
          <w:sz w:val="20"/>
          <w:szCs w:val="20"/>
        </w:rPr>
        <w:t xml:space="preserve">for </w:t>
      </w:r>
      <w:r w:rsidR="00276827">
        <w:rPr>
          <w:bCs/>
          <w:sz w:val="20"/>
          <w:szCs w:val="20"/>
        </w:rPr>
        <w:t xml:space="preserve">cell1 and cell5 </w:t>
      </w:r>
      <w:r w:rsidR="007B09C6">
        <w:rPr>
          <w:bCs/>
          <w:sz w:val="20"/>
          <w:szCs w:val="20"/>
        </w:rPr>
        <w:t xml:space="preserve">as described </w:t>
      </w:r>
      <w:r w:rsidR="00276827">
        <w:rPr>
          <w:bCs/>
          <w:sz w:val="20"/>
          <w:szCs w:val="20"/>
        </w:rPr>
        <w:t xml:space="preserve">in </w:t>
      </w:r>
      <w:r w:rsidR="003B4373">
        <w:rPr>
          <w:rFonts w:hint="eastAsia"/>
          <w:bCs/>
          <w:sz w:val="20"/>
          <w:szCs w:val="20"/>
        </w:rPr>
        <w:t>F</w:t>
      </w:r>
      <w:r w:rsidR="00276827">
        <w:rPr>
          <w:bCs/>
          <w:sz w:val="20"/>
          <w:szCs w:val="20"/>
        </w:rPr>
        <w:t>igure1</w:t>
      </w:r>
      <w:r w:rsidR="00F9761E">
        <w:rPr>
          <w:bCs/>
          <w:sz w:val="20"/>
          <w:szCs w:val="20"/>
        </w:rPr>
        <w:t xml:space="preserve"> </w:t>
      </w:r>
      <w:r w:rsidR="003B4373">
        <w:rPr>
          <w:bCs/>
          <w:sz w:val="20"/>
          <w:szCs w:val="20"/>
        </w:rPr>
        <w:t xml:space="preserve">below, </w:t>
      </w:r>
      <w:r w:rsidR="00F9761E">
        <w:rPr>
          <w:bCs/>
          <w:sz w:val="20"/>
          <w:szCs w:val="20"/>
        </w:rPr>
        <w:t>while perform</w:t>
      </w:r>
      <w:r w:rsidR="007B09C6">
        <w:rPr>
          <w:bCs/>
          <w:sz w:val="20"/>
          <w:szCs w:val="20"/>
        </w:rPr>
        <w:t>ing</w:t>
      </w:r>
      <w:r w:rsidR="00F9761E">
        <w:rPr>
          <w:bCs/>
          <w:sz w:val="20"/>
          <w:szCs w:val="20"/>
        </w:rPr>
        <w:t xml:space="preserve"> inter-frequency </w:t>
      </w:r>
      <w:r w:rsidR="007B09C6">
        <w:rPr>
          <w:bCs/>
          <w:sz w:val="20"/>
          <w:szCs w:val="20"/>
        </w:rPr>
        <w:t xml:space="preserve">for </w:t>
      </w:r>
      <w:r w:rsidR="00F9761E">
        <w:rPr>
          <w:bCs/>
          <w:sz w:val="20"/>
          <w:szCs w:val="20"/>
        </w:rPr>
        <w:t>other cells</w:t>
      </w:r>
      <w:r w:rsidR="00627981">
        <w:rPr>
          <w:bCs/>
          <w:sz w:val="20"/>
          <w:szCs w:val="20"/>
        </w:rPr>
        <w:t>. I</w:t>
      </w:r>
      <w:r w:rsidR="00F9761E">
        <w:rPr>
          <w:bCs/>
          <w:sz w:val="20"/>
          <w:szCs w:val="20"/>
        </w:rPr>
        <w:t>n time</w:t>
      </w:r>
      <w:r w:rsidR="00627981">
        <w:rPr>
          <w:bCs/>
          <w:sz w:val="20"/>
          <w:szCs w:val="20"/>
        </w:rPr>
        <w:t>#</w:t>
      </w:r>
      <w:r w:rsidR="00F9761E">
        <w:rPr>
          <w:bCs/>
          <w:sz w:val="20"/>
          <w:szCs w:val="20"/>
        </w:rPr>
        <w:t>2</w:t>
      </w:r>
      <w:r w:rsidR="00627981">
        <w:rPr>
          <w:bCs/>
          <w:sz w:val="20"/>
          <w:szCs w:val="20"/>
        </w:rPr>
        <w:t>, the</w:t>
      </w:r>
      <w:r w:rsidR="00F9761E">
        <w:rPr>
          <w:bCs/>
          <w:sz w:val="20"/>
          <w:szCs w:val="20"/>
        </w:rPr>
        <w:t xml:space="preserve"> UE will perform intra-frequency measurement on NCD-SSB#1 for cell</w:t>
      </w:r>
      <w:r w:rsidR="00F9761E">
        <w:rPr>
          <w:rFonts w:hint="eastAsia"/>
          <w:bCs/>
          <w:sz w:val="20"/>
          <w:szCs w:val="20"/>
        </w:rPr>
        <w:t>2</w:t>
      </w:r>
      <w:r w:rsidR="00F9761E">
        <w:rPr>
          <w:bCs/>
          <w:sz w:val="20"/>
          <w:szCs w:val="20"/>
        </w:rPr>
        <w:t xml:space="preserve"> and cell</w:t>
      </w:r>
      <w:r w:rsidR="00F9761E">
        <w:rPr>
          <w:rFonts w:hint="eastAsia"/>
          <w:bCs/>
          <w:sz w:val="20"/>
          <w:szCs w:val="20"/>
        </w:rPr>
        <w:t>6</w:t>
      </w:r>
      <w:r w:rsidR="00F9761E">
        <w:rPr>
          <w:bCs/>
          <w:sz w:val="20"/>
          <w:szCs w:val="20"/>
        </w:rPr>
        <w:t xml:space="preserve"> while perform</w:t>
      </w:r>
      <w:r w:rsidR="007B09C6">
        <w:rPr>
          <w:bCs/>
          <w:sz w:val="20"/>
          <w:szCs w:val="20"/>
        </w:rPr>
        <w:t>ing</w:t>
      </w:r>
      <w:r w:rsidR="00F9761E">
        <w:rPr>
          <w:bCs/>
          <w:sz w:val="20"/>
          <w:szCs w:val="20"/>
        </w:rPr>
        <w:t xml:space="preserve"> inter-frequency </w:t>
      </w:r>
      <w:r w:rsidR="007B09C6">
        <w:rPr>
          <w:bCs/>
          <w:sz w:val="20"/>
          <w:szCs w:val="20"/>
        </w:rPr>
        <w:t>for</w:t>
      </w:r>
      <w:r w:rsidR="00F9761E">
        <w:rPr>
          <w:bCs/>
          <w:sz w:val="20"/>
          <w:szCs w:val="20"/>
        </w:rPr>
        <w:t xml:space="preserve"> other cells. </w:t>
      </w:r>
    </w:p>
    <w:p w14:paraId="317BA284" w14:textId="71098E3C" w:rsidR="00276827" w:rsidRDefault="00887A3B" w:rsidP="00276827">
      <w:pPr>
        <w:suppressAutoHyphens/>
        <w:overflowPunct w:val="0"/>
        <w:autoSpaceDE w:val="0"/>
        <w:spacing w:before="120" w:after="120"/>
        <w:jc w:val="center"/>
        <w:textAlignment w:val="baseline"/>
      </w:pPr>
      <w:r>
        <w:rPr>
          <w:noProof/>
        </w:rPr>
        <w:object w:dxaOrig="6901" w:dyaOrig="1111" w14:anchorId="24099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54.7pt;mso-width-percent:0;mso-height-percent:0;mso-width-percent:0;mso-height-percent:0" o:ole="">
            <v:imagedata r:id="rId9" o:title=""/>
          </v:shape>
          <o:OLEObject Type="Embed" ProgID="Visio.Drawing.15" ShapeID="_x0000_i1025" DrawAspect="Content" ObjectID="_1721653731" r:id="rId10"/>
        </w:object>
      </w:r>
    </w:p>
    <w:p w14:paraId="16A28C5C" w14:textId="7D0D5BF4" w:rsidR="00F9761E" w:rsidRPr="00ED449C" w:rsidRDefault="00F9761E" w:rsidP="00276827">
      <w:pPr>
        <w:suppressAutoHyphens/>
        <w:overflowPunct w:val="0"/>
        <w:autoSpaceDE w:val="0"/>
        <w:spacing w:before="120" w:after="120"/>
        <w:jc w:val="center"/>
        <w:textAlignment w:val="baseline"/>
        <w:rPr>
          <w:b/>
          <w:sz w:val="20"/>
          <w:szCs w:val="20"/>
        </w:rPr>
      </w:pPr>
      <w:r w:rsidRPr="00ED449C">
        <w:rPr>
          <w:b/>
          <w:sz w:val="20"/>
          <w:szCs w:val="20"/>
        </w:rPr>
        <w:t>Figure1: A configuration example on measObjectNR when NCD-SSB is introduced.</w:t>
      </w:r>
    </w:p>
    <w:p w14:paraId="0342ECAC" w14:textId="0CA07568" w:rsidR="00DF7B5A" w:rsidRPr="00222D1E" w:rsidRDefault="00F9761E" w:rsidP="00F561D0">
      <w:pPr>
        <w:suppressAutoHyphens/>
        <w:overflowPunct w:val="0"/>
        <w:autoSpaceDE w:val="0"/>
        <w:spacing w:after="120"/>
        <w:jc w:val="both"/>
        <w:textAlignment w:val="baseline"/>
        <w:rPr>
          <w:bCs/>
          <w:sz w:val="20"/>
          <w:szCs w:val="20"/>
        </w:rPr>
      </w:pPr>
      <w:r>
        <w:rPr>
          <w:bCs/>
          <w:sz w:val="20"/>
          <w:szCs w:val="20"/>
        </w:rPr>
        <w:t xml:space="preserve">Based on the above analysis, we think the </w:t>
      </w:r>
      <w:r w:rsidRPr="00F9761E">
        <w:rPr>
          <w:bCs/>
          <w:sz w:val="20"/>
          <w:szCs w:val="20"/>
        </w:rPr>
        <w:t>existing neighbour cell measurements framework</w:t>
      </w:r>
      <w:r>
        <w:rPr>
          <w:bCs/>
          <w:sz w:val="20"/>
          <w:szCs w:val="20"/>
        </w:rPr>
        <w:t xml:space="preserve"> could work wel</w:t>
      </w:r>
      <w:r>
        <w:rPr>
          <w:rFonts w:hint="eastAsia"/>
          <w:bCs/>
          <w:sz w:val="20"/>
          <w:szCs w:val="20"/>
        </w:rPr>
        <w:t>l</w:t>
      </w:r>
      <w:r>
        <w:rPr>
          <w:bCs/>
          <w:sz w:val="20"/>
          <w:szCs w:val="20"/>
        </w:rPr>
        <w:t xml:space="preserve"> without reconfigur</w:t>
      </w:r>
      <w:r w:rsidR="007B09C6">
        <w:rPr>
          <w:bCs/>
          <w:sz w:val="20"/>
          <w:szCs w:val="20"/>
        </w:rPr>
        <w:t>ing</w:t>
      </w:r>
      <w:r>
        <w:rPr>
          <w:bCs/>
          <w:sz w:val="20"/>
          <w:szCs w:val="20"/>
        </w:rPr>
        <w:t xml:space="preserve"> the measObject </w:t>
      </w:r>
      <w:r w:rsidR="00222D1E">
        <w:rPr>
          <w:bCs/>
          <w:sz w:val="20"/>
          <w:szCs w:val="20"/>
        </w:rPr>
        <w:t xml:space="preserve">upon BWP switch. The switch of intra-frequency measurement could be up to UE implementation, e.g. in the above example, UE considers CD-SSB#1 </w:t>
      </w:r>
      <w:r w:rsidR="007B09C6">
        <w:rPr>
          <w:bCs/>
          <w:sz w:val="20"/>
          <w:szCs w:val="20"/>
        </w:rPr>
        <w:t>a</w:t>
      </w:r>
      <w:r w:rsidR="00222D1E">
        <w:rPr>
          <w:bCs/>
          <w:sz w:val="20"/>
          <w:szCs w:val="20"/>
        </w:rPr>
        <w:t>s the intra-frequency</w:t>
      </w:r>
      <w:r w:rsidR="0082520A">
        <w:rPr>
          <w:bCs/>
          <w:sz w:val="20"/>
          <w:szCs w:val="20"/>
        </w:rPr>
        <w:t>,</w:t>
      </w:r>
      <w:r w:rsidR="00222D1E">
        <w:rPr>
          <w:bCs/>
          <w:sz w:val="20"/>
          <w:szCs w:val="20"/>
        </w:rPr>
        <w:t xml:space="preserve"> while in time</w:t>
      </w:r>
      <w:r w:rsidR="0082520A">
        <w:rPr>
          <w:bCs/>
          <w:sz w:val="20"/>
          <w:szCs w:val="20"/>
        </w:rPr>
        <w:t>#</w:t>
      </w:r>
      <w:r w:rsidR="00222D1E">
        <w:rPr>
          <w:bCs/>
          <w:sz w:val="20"/>
          <w:szCs w:val="20"/>
        </w:rPr>
        <w:t xml:space="preserve">2 UE considers NCD-SSB#1 </w:t>
      </w:r>
      <w:r w:rsidR="007B09C6">
        <w:rPr>
          <w:bCs/>
          <w:sz w:val="20"/>
          <w:szCs w:val="20"/>
        </w:rPr>
        <w:t>as</w:t>
      </w:r>
      <w:r w:rsidR="00222D1E">
        <w:rPr>
          <w:bCs/>
          <w:sz w:val="20"/>
          <w:szCs w:val="20"/>
        </w:rPr>
        <w:t xml:space="preserve"> the intra-frequnecy</w:t>
      </w:r>
      <w:r w:rsidR="007B09C6">
        <w:rPr>
          <w:bCs/>
          <w:sz w:val="20"/>
          <w:szCs w:val="20"/>
        </w:rPr>
        <w:t xml:space="preserve"> and UE performs neighbour cell measurement accordingly.</w:t>
      </w:r>
    </w:p>
    <w:p w14:paraId="3A50A153" w14:textId="22A495A3" w:rsidR="00E245FD" w:rsidRPr="00602370" w:rsidRDefault="00A14FB2" w:rsidP="00ED449C">
      <w:pPr>
        <w:suppressAutoHyphens/>
        <w:overflowPunct w:val="0"/>
        <w:autoSpaceDE w:val="0"/>
        <w:spacing w:after="120"/>
        <w:jc w:val="both"/>
        <w:textAlignment w:val="baseline"/>
        <w:rPr>
          <w:b/>
          <w:bCs/>
          <w:color w:val="000000"/>
          <w:sz w:val="20"/>
          <w:szCs w:val="20"/>
        </w:rPr>
      </w:pPr>
      <w:bookmarkStart w:id="5" w:name="_Hlk110950822"/>
      <w:r w:rsidRPr="0086149A">
        <w:rPr>
          <w:b/>
          <w:bCs/>
          <w:color w:val="000000"/>
          <w:sz w:val="20"/>
          <w:szCs w:val="20"/>
        </w:rPr>
        <w:t xml:space="preserve">Proposal </w:t>
      </w:r>
      <w:r w:rsidR="00C87830">
        <w:rPr>
          <w:b/>
          <w:bCs/>
          <w:color w:val="000000"/>
          <w:sz w:val="20"/>
          <w:szCs w:val="20"/>
        </w:rPr>
        <w:t>1</w:t>
      </w:r>
      <w:r w:rsidR="000E6BCD">
        <w:rPr>
          <w:b/>
          <w:bCs/>
          <w:color w:val="000000"/>
          <w:sz w:val="20"/>
          <w:szCs w:val="20"/>
        </w:rPr>
        <w:t>:</w:t>
      </w:r>
      <w:r w:rsidR="00602370" w:rsidRPr="00602370">
        <w:rPr>
          <w:b/>
          <w:bCs/>
          <w:color w:val="000000"/>
          <w:sz w:val="20"/>
          <w:szCs w:val="20"/>
        </w:rPr>
        <w:t xml:space="preserve"> For neighbour cell measurements, the existing RRM mechanism is applied, further enhancement is not needed.</w:t>
      </w:r>
      <w:r w:rsidR="00CB3BF0">
        <w:rPr>
          <w:b/>
          <w:bCs/>
          <w:color w:val="000000"/>
          <w:sz w:val="20"/>
          <w:szCs w:val="20"/>
        </w:rPr>
        <w:t xml:space="preserve"> </w:t>
      </w:r>
    </w:p>
    <w:bookmarkEnd w:id="5"/>
    <w:p w14:paraId="0C0FE0DF" w14:textId="0FA06DC0" w:rsidR="002F0ECF" w:rsidRDefault="002F0ECF" w:rsidP="002F0ECF">
      <w:pPr>
        <w:pStyle w:val="20"/>
        <w:keepLines/>
        <w:numPr>
          <w:ilvl w:val="1"/>
          <w:numId w:val="24"/>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NCD-SSB for non-Re</w:t>
      </w:r>
      <w:r>
        <w:rPr>
          <w:rFonts w:eastAsia="宋体" w:hint="eastAsia"/>
          <w:b w:val="0"/>
          <w:sz w:val="30"/>
          <w:szCs w:val="30"/>
          <w:lang w:val="en-GB"/>
        </w:rPr>
        <w:t>d</w:t>
      </w:r>
      <w:r>
        <w:rPr>
          <w:rFonts w:eastAsia="宋体"/>
          <w:b w:val="0"/>
          <w:sz w:val="30"/>
          <w:szCs w:val="30"/>
          <w:lang w:val="en-GB"/>
        </w:rPr>
        <w:t>Cap UE</w:t>
      </w:r>
      <w:r>
        <w:rPr>
          <w:rFonts w:eastAsia="宋体" w:hint="eastAsia"/>
          <w:b w:val="0"/>
          <w:sz w:val="30"/>
          <w:szCs w:val="30"/>
          <w:lang w:val="en-GB"/>
        </w:rPr>
        <w:t>s</w:t>
      </w:r>
    </w:p>
    <w:p w14:paraId="3DE5A9E4" w14:textId="483F49C4" w:rsidR="002F0ECF" w:rsidRDefault="002F0ECF" w:rsidP="00F561D0">
      <w:pPr>
        <w:spacing w:after="120"/>
        <w:jc w:val="both"/>
        <w:rPr>
          <w:bCs/>
          <w:sz w:val="20"/>
          <w:szCs w:val="20"/>
        </w:rPr>
      </w:pPr>
      <w:r w:rsidRPr="002F0ECF">
        <w:rPr>
          <w:bCs/>
          <w:sz w:val="20"/>
          <w:szCs w:val="20"/>
        </w:rPr>
        <w:t xml:space="preserve">In the RAN2#118-e </w:t>
      </w:r>
      <w:r w:rsidRPr="002F0ECF">
        <w:rPr>
          <w:rFonts w:hint="eastAsia"/>
          <w:bCs/>
          <w:sz w:val="20"/>
          <w:szCs w:val="20"/>
        </w:rPr>
        <w:t>meet</w:t>
      </w:r>
      <w:r w:rsidRPr="002F0ECF">
        <w:rPr>
          <w:bCs/>
          <w:sz w:val="20"/>
          <w:szCs w:val="20"/>
        </w:rPr>
        <w:t>ing</w:t>
      </w:r>
      <w:r w:rsidRPr="002F0ECF">
        <w:rPr>
          <w:rFonts w:hint="eastAsia"/>
          <w:bCs/>
          <w:sz w:val="20"/>
          <w:szCs w:val="20"/>
        </w:rPr>
        <w:t>,</w:t>
      </w:r>
      <w:r w:rsidRPr="002F0ECF">
        <w:rPr>
          <w:bCs/>
          <w:sz w:val="20"/>
          <w:szCs w:val="20"/>
        </w:rPr>
        <w:t xml:space="preserve"> we </w:t>
      </w:r>
      <w:r>
        <w:rPr>
          <w:bCs/>
          <w:sz w:val="20"/>
          <w:szCs w:val="20"/>
        </w:rPr>
        <w:t>discussed whether the NCD-SSB could be supported by non-RedCap UEs</w:t>
      </w:r>
      <w:r w:rsidR="00B53D9B">
        <w:rPr>
          <w:bCs/>
          <w:sz w:val="20"/>
          <w:szCs w:val="20"/>
        </w:rPr>
        <w:t xml:space="preserve">. </w:t>
      </w:r>
      <w:r>
        <w:rPr>
          <w:bCs/>
          <w:sz w:val="20"/>
          <w:szCs w:val="20"/>
        </w:rPr>
        <w:t xml:space="preserve"> </w:t>
      </w:r>
      <w:r w:rsidR="00B53D9B">
        <w:rPr>
          <w:bCs/>
          <w:sz w:val="20"/>
          <w:szCs w:val="20"/>
        </w:rPr>
        <w:t>H</w:t>
      </w:r>
      <w:r>
        <w:rPr>
          <w:bCs/>
          <w:sz w:val="20"/>
          <w:szCs w:val="20"/>
        </w:rPr>
        <w:t>owever, companies’ v</w:t>
      </w:r>
      <w:r w:rsidR="00F01937">
        <w:rPr>
          <w:bCs/>
          <w:sz w:val="20"/>
          <w:szCs w:val="20"/>
        </w:rPr>
        <w:t>ie</w:t>
      </w:r>
      <w:r>
        <w:rPr>
          <w:bCs/>
          <w:sz w:val="20"/>
          <w:szCs w:val="20"/>
        </w:rPr>
        <w:t>ws are split and we didn’t reach an agreement. According to the following agreement</w:t>
      </w:r>
      <w:r>
        <w:rPr>
          <w:rFonts w:hint="eastAsia"/>
          <w:bCs/>
          <w:sz w:val="20"/>
          <w:szCs w:val="20"/>
        </w:rPr>
        <w:t>,</w:t>
      </w:r>
      <w:r>
        <w:rPr>
          <w:bCs/>
          <w:sz w:val="20"/>
          <w:szCs w:val="20"/>
        </w:rPr>
        <w:t xml:space="preserve"> one BWP can only contain up to one SSB</w:t>
      </w:r>
      <w:r w:rsidR="00DD383A">
        <w:rPr>
          <w:bCs/>
          <w:sz w:val="20"/>
          <w:szCs w:val="20"/>
        </w:rPr>
        <w:t xml:space="preserve"> </w:t>
      </w:r>
      <w:r>
        <w:rPr>
          <w:rFonts w:hint="eastAsia"/>
          <w:bCs/>
          <w:sz w:val="20"/>
          <w:szCs w:val="20"/>
        </w:rPr>
        <w:t>(</w:t>
      </w:r>
      <w:r>
        <w:rPr>
          <w:bCs/>
          <w:sz w:val="20"/>
          <w:szCs w:val="20"/>
        </w:rPr>
        <w:t>CD-SSB or NCD-SSB).</w:t>
      </w:r>
    </w:p>
    <w:tbl>
      <w:tblPr>
        <w:tblStyle w:val="af1"/>
        <w:tblW w:w="0" w:type="auto"/>
        <w:tblLook w:val="04A0" w:firstRow="1" w:lastRow="0" w:firstColumn="1" w:lastColumn="0" w:noHBand="0" w:noVBand="1"/>
      </w:tblPr>
      <w:tblGrid>
        <w:gridCol w:w="9060"/>
      </w:tblGrid>
      <w:tr w:rsidR="002F0ECF" w14:paraId="7A984DB6" w14:textId="77777777" w:rsidTr="002F0ECF">
        <w:tc>
          <w:tcPr>
            <w:tcW w:w="9060" w:type="dxa"/>
          </w:tcPr>
          <w:p w14:paraId="598FBED1" w14:textId="3ABFC293" w:rsidR="002F0ECF" w:rsidRPr="00F561D0" w:rsidRDefault="002F0ECF" w:rsidP="00F561D0">
            <w:pPr>
              <w:pStyle w:val="af5"/>
              <w:numPr>
                <w:ilvl w:val="0"/>
                <w:numId w:val="33"/>
              </w:numPr>
              <w:ind w:firstLineChars="0"/>
              <w:rPr>
                <w:bCs/>
                <w:sz w:val="20"/>
                <w:szCs w:val="20"/>
              </w:rPr>
            </w:pPr>
            <w:r w:rsidRPr="00F561D0">
              <w:rPr>
                <w:rFonts w:ascii="Times New Roman" w:hAnsi="Times New Roman"/>
                <w:bCs/>
                <w:sz w:val="20"/>
                <w:szCs w:val="20"/>
              </w:rPr>
              <w:t>In Rel-17, from UE perspective, one configured BWP can only contain up to one SSB (CD-SSB or NCD-SSB).</w:t>
            </w:r>
          </w:p>
        </w:tc>
      </w:tr>
    </w:tbl>
    <w:p w14:paraId="44E9BD40" w14:textId="13A3BA33" w:rsidR="002F0ECF" w:rsidRDefault="002F0ECF" w:rsidP="00F561D0">
      <w:pPr>
        <w:spacing w:after="120"/>
        <w:jc w:val="both"/>
        <w:rPr>
          <w:bCs/>
          <w:sz w:val="20"/>
          <w:szCs w:val="20"/>
        </w:rPr>
      </w:pPr>
      <w:r>
        <w:rPr>
          <w:bCs/>
          <w:sz w:val="20"/>
          <w:szCs w:val="20"/>
        </w:rPr>
        <w:t>Besides, t</w:t>
      </w:r>
      <w:r w:rsidRPr="002F0ECF">
        <w:rPr>
          <w:bCs/>
          <w:sz w:val="20"/>
          <w:szCs w:val="20"/>
        </w:rPr>
        <w:t xml:space="preserve">he </w:t>
      </w:r>
      <w:r>
        <w:rPr>
          <w:bCs/>
          <w:sz w:val="20"/>
          <w:szCs w:val="20"/>
        </w:rPr>
        <w:t xml:space="preserve">functionality of NCD-SSB is similar to the CD-SSB, e.g. for </w:t>
      </w:r>
      <w:r w:rsidRPr="002F0ECF">
        <w:rPr>
          <w:bCs/>
          <w:sz w:val="20"/>
          <w:szCs w:val="20"/>
        </w:rPr>
        <w:t>obtaining sync, measurements, RLM</w:t>
      </w:r>
      <w:r>
        <w:rPr>
          <w:bCs/>
          <w:sz w:val="20"/>
          <w:szCs w:val="20"/>
        </w:rPr>
        <w:t>,</w:t>
      </w:r>
      <w:r w:rsidR="009B0097">
        <w:rPr>
          <w:bCs/>
          <w:sz w:val="20"/>
          <w:szCs w:val="20"/>
        </w:rPr>
        <w:t xml:space="preserve"> etc.</w:t>
      </w:r>
      <w:r>
        <w:rPr>
          <w:bCs/>
          <w:sz w:val="20"/>
          <w:szCs w:val="20"/>
        </w:rPr>
        <w:t xml:space="preserve"> </w:t>
      </w:r>
      <w:r w:rsidR="00D635CE">
        <w:rPr>
          <w:bCs/>
          <w:sz w:val="20"/>
          <w:szCs w:val="20"/>
        </w:rPr>
        <w:t>A</w:t>
      </w:r>
      <w:r w:rsidR="00E643B3">
        <w:rPr>
          <w:bCs/>
          <w:sz w:val="20"/>
          <w:szCs w:val="20"/>
        </w:rPr>
        <w:t xml:space="preserve">s </w:t>
      </w:r>
      <w:r>
        <w:rPr>
          <w:bCs/>
          <w:sz w:val="20"/>
          <w:szCs w:val="20"/>
        </w:rPr>
        <w:t>non-RedCap UEs could use CD-SSB, there is no restriction on using NCD-SSB from RAN2 perspective. For a BWP configured with NCD-SSB, it’s feasible for non-RedCap UE to perform sync, measurement, RLM</w:t>
      </w:r>
      <w:r w:rsidR="007F1A62">
        <w:rPr>
          <w:bCs/>
          <w:sz w:val="20"/>
          <w:szCs w:val="20"/>
        </w:rPr>
        <w:t>, etc.</w:t>
      </w:r>
      <w:r>
        <w:rPr>
          <w:bCs/>
          <w:sz w:val="20"/>
          <w:szCs w:val="20"/>
        </w:rPr>
        <w:t xml:space="preserve"> based on the NCD-SSB. In our view, extend</w:t>
      </w:r>
      <w:r w:rsidR="00F01937">
        <w:rPr>
          <w:bCs/>
          <w:sz w:val="20"/>
          <w:szCs w:val="20"/>
        </w:rPr>
        <w:t>ing</w:t>
      </w:r>
      <w:r>
        <w:rPr>
          <w:bCs/>
          <w:sz w:val="20"/>
          <w:szCs w:val="20"/>
        </w:rPr>
        <w:t xml:space="preserve"> NCD-SSB to </w:t>
      </w:r>
      <w:r w:rsidR="00D946E1">
        <w:rPr>
          <w:bCs/>
          <w:sz w:val="20"/>
          <w:szCs w:val="20"/>
        </w:rPr>
        <w:t>non</w:t>
      </w:r>
      <w:r>
        <w:rPr>
          <w:bCs/>
          <w:sz w:val="20"/>
          <w:szCs w:val="20"/>
        </w:rPr>
        <w:t xml:space="preserve">-RedCap UEs is more flexible and </w:t>
      </w:r>
      <w:r w:rsidR="00F01937">
        <w:rPr>
          <w:bCs/>
          <w:sz w:val="20"/>
          <w:szCs w:val="20"/>
        </w:rPr>
        <w:t xml:space="preserve">has </w:t>
      </w:r>
      <w:r>
        <w:rPr>
          <w:bCs/>
          <w:sz w:val="20"/>
          <w:szCs w:val="20"/>
        </w:rPr>
        <w:t>no other impacts</w:t>
      </w:r>
      <w:r w:rsidR="00F92348">
        <w:rPr>
          <w:bCs/>
          <w:sz w:val="20"/>
          <w:szCs w:val="20"/>
        </w:rPr>
        <w:t xml:space="preserve"> to non-RedCap UEs</w:t>
      </w:r>
      <w:r>
        <w:rPr>
          <w:bCs/>
          <w:sz w:val="20"/>
          <w:szCs w:val="20"/>
        </w:rPr>
        <w:t>.</w:t>
      </w:r>
    </w:p>
    <w:p w14:paraId="17FAC8D6" w14:textId="2CF126C4" w:rsidR="002F0ECF" w:rsidRPr="007D550A" w:rsidRDefault="002F0ECF" w:rsidP="007D550A">
      <w:pPr>
        <w:suppressAutoHyphens/>
        <w:overflowPunct w:val="0"/>
        <w:autoSpaceDE w:val="0"/>
        <w:spacing w:after="120"/>
        <w:jc w:val="both"/>
        <w:textAlignment w:val="baseline"/>
        <w:rPr>
          <w:b/>
          <w:bCs/>
          <w:color w:val="000000"/>
          <w:sz w:val="20"/>
          <w:szCs w:val="20"/>
        </w:rPr>
      </w:pPr>
      <w:r w:rsidRPr="0086149A">
        <w:rPr>
          <w:b/>
          <w:bCs/>
          <w:color w:val="000000"/>
          <w:sz w:val="20"/>
          <w:szCs w:val="20"/>
        </w:rPr>
        <w:t xml:space="preserve">Proposal </w:t>
      </w:r>
      <w:r>
        <w:rPr>
          <w:b/>
          <w:bCs/>
          <w:color w:val="000000"/>
          <w:sz w:val="20"/>
          <w:szCs w:val="20"/>
        </w:rPr>
        <w:t>2:</w:t>
      </w:r>
      <w:r w:rsidRPr="00602370">
        <w:rPr>
          <w:b/>
          <w:bCs/>
          <w:color w:val="000000"/>
          <w:sz w:val="20"/>
          <w:szCs w:val="20"/>
        </w:rPr>
        <w:t xml:space="preserve"> F</w:t>
      </w:r>
      <w:r>
        <w:rPr>
          <w:b/>
          <w:bCs/>
          <w:color w:val="000000"/>
          <w:sz w:val="20"/>
          <w:szCs w:val="20"/>
        </w:rPr>
        <w:t>rom RAN2 perspective</w:t>
      </w:r>
      <w:r w:rsidRPr="00602370">
        <w:rPr>
          <w:b/>
          <w:bCs/>
          <w:color w:val="000000"/>
          <w:sz w:val="20"/>
          <w:szCs w:val="20"/>
        </w:rPr>
        <w:t>,</w:t>
      </w:r>
      <w:r>
        <w:rPr>
          <w:b/>
          <w:bCs/>
          <w:color w:val="000000"/>
          <w:sz w:val="20"/>
          <w:szCs w:val="20"/>
        </w:rPr>
        <w:t xml:space="preserve"> </w:t>
      </w:r>
      <w:r w:rsidR="008D4013">
        <w:rPr>
          <w:b/>
          <w:bCs/>
          <w:color w:val="000000"/>
          <w:sz w:val="20"/>
          <w:szCs w:val="20"/>
        </w:rPr>
        <w:t xml:space="preserve">NCD-SSB could also be applicable for </w:t>
      </w:r>
      <w:r>
        <w:rPr>
          <w:b/>
          <w:bCs/>
          <w:color w:val="000000"/>
          <w:sz w:val="20"/>
          <w:szCs w:val="20"/>
        </w:rPr>
        <w:t>non-RedCap UEs.</w:t>
      </w:r>
    </w:p>
    <w:p w14:paraId="20AF6213" w14:textId="77777777" w:rsidR="00036AD3" w:rsidRDefault="00C875F9" w:rsidP="00ED449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3523B83" w14:textId="0FBB8695" w:rsidR="00036AD3" w:rsidRPr="00ED449C" w:rsidRDefault="00C875F9" w:rsidP="00ED449C">
      <w:pPr>
        <w:overflowPunct w:val="0"/>
        <w:autoSpaceDE w:val="0"/>
        <w:autoSpaceDN w:val="0"/>
        <w:adjustRightInd w:val="0"/>
        <w:spacing w:after="120"/>
        <w:jc w:val="both"/>
        <w:textAlignment w:val="baseline"/>
        <w:rPr>
          <w:sz w:val="20"/>
          <w:szCs w:val="20"/>
        </w:rPr>
      </w:pPr>
      <w:r w:rsidRPr="00ED449C">
        <w:rPr>
          <w:sz w:val="20"/>
          <w:szCs w:val="20"/>
        </w:rPr>
        <w:t>I</w:t>
      </w:r>
      <w:r w:rsidRPr="00ED449C">
        <w:rPr>
          <w:rFonts w:hint="eastAsia"/>
          <w:sz w:val="20"/>
          <w:szCs w:val="20"/>
        </w:rPr>
        <w:t xml:space="preserve">n this contribution, we </w:t>
      </w:r>
      <w:r w:rsidRPr="00ED449C">
        <w:rPr>
          <w:sz w:val="20"/>
          <w:szCs w:val="20"/>
        </w:rPr>
        <w:t>provide</w:t>
      </w:r>
      <w:r w:rsidR="009B2961" w:rsidRPr="00ED449C">
        <w:rPr>
          <w:sz w:val="20"/>
          <w:szCs w:val="20"/>
        </w:rPr>
        <w:t>d</w:t>
      </w:r>
      <w:r w:rsidRPr="00ED449C">
        <w:rPr>
          <w:rFonts w:hint="eastAsia"/>
          <w:sz w:val="20"/>
          <w:szCs w:val="20"/>
        </w:rPr>
        <w:t xml:space="preserve"> our views on </w:t>
      </w:r>
      <w:r w:rsidR="00602370" w:rsidRPr="00ED449C">
        <w:rPr>
          <w:sz w:val="20"/>
          <w:szCs w:val="20"/>
        </w:rPr>
        <w:t>configuration on neighbour cell measurement</w:t>
      </w:r>
      <w:r w:rsidR="00655FF6" w:rsidRPr="00ED449C">
        <w:rPr>
          <w:sz w:val="20"/>
          <w:szCs w:val="20"/>
        </w:rPr>
        <w:t xml:space="preserve"> for RedCap UEs</w:t>
      </w:r>
      <w:r w:rsidR="002F0ECF" w:rsidRPr="00ED449C">
        <w:rPr>
          <w:sz w:val="20"/>
          <w:szCs w:val="20"/>
        </w:rPr>
        <w:t xml:space="preserve"> and NCD-SSB for non-RedCap UEs</w:t>
      </w:r>
      <w:r w:rsidR="00655FF6" w:rsidRPr="00ED449C">
        <w:rPr>
          <w:sz w:val="20"/>
          <w:szCs w:val="20"/>
        </w:rPr>
        <w:t>.</w:t>
      </w:r>
      <w:r w:rsidRPr="00ED449C">
        <w:rPr>
          <w:sz w:val="20"/>
          <w:szCs w:val="20"/>
        </w:rPr>
        <w:t xml:space="preserve"> </w:t>
      </w:r>
      <w:r w:rsidR="00DE0D5B">
        <w:rPr>
          <w:sz w:val="20"/>
          <w:szCs w:val="20"/>
        </w:rPr>
        <w:t>Based on the discussion, t</w:t>
      </w:r>
      <w:r w:rsidRPr="00ED449C">
        <w:rPr>
          <w:rFonts w:hint="eastAsia"/>
          <w:sz w:val="20"/>
          <w:szCs w:val="20"/>
        </w:rPr>
        <w:t xml:space="preserve">he </w:t>
      </w:r>
      <w:r w:rsidR="005236D7" w:rsidRPr="00ED449C">
        <w:rPr>
          <w:sz w:val="20"/>
          <w:szCs w:val="20"/>
        </w:rPr>
        <w:t xml:space="preserve">following </w:t>
      </w:r>
      <w:r w:rsidRPr="00ED449C">
        <w:rPr>
          <w:sz w:val="20"/>
          <w:szCs w:val="20"/>
        </w:rPr>
        <w:t xml:space="preserve">proposals are </w:t>
      </w:r>
      <w:r w:rsidR="005236D7" w:rsidRPr="00ED449C">
        <w:rPr>
          <w:sz w:val="20"/>
          <w:szCs w:val="20"/>
        </w:rPr>
        <w:t>achieved</w:t>
      </w:r>
      <w:r w:rsidRPr="00ED449C">
        <w:rPr>
          <w:rFonts w:hint="eastAsia"/>
          <w:sz w:val="20"/>
          <w:szCs w:val="20"/>
        </w:rPr>
        <w:t>:</w:t>
      </w:r>
      <w:r w:rsidRPr="00ED449C">
        <w:rPr>
          <w:sz w:val="20"/>
          <w:szCs w:val="20"/>
        </w:rPr>
        <w:t xml:space="preserve"> </w:t>
      </w:r>
    </w:p>
    <w:p w14:paraId="19A08288" w14:textId="77777777" w:rsidR="005F36E8" w:rsidRPr="00602370" w:rsidRDefault="005F36E8" w:rsidP="005F36E8">
      <w:pPr>
        <w:suppressAutoHyphens/>
        <w:overflowPunct w:val="0"/>
        <w:autoSpaceDE w:val="0"/>
        <w:spacing w:after="120"/>
        <w:jc w:val="both"/>
        <w:textAlignment w:val="baseline"/>
        <w:rPr>
          <w:b/>
          <w:bCs/>
          <w:color w:val="000000"/>
          <w:sz w:val="20"/>
          <w:szCs w:val="20"/>
        </w:rPr>
      </w:pPr>
      <w:r w:rsidRPr="0086149A">
        <w:rPr>
          <w:b/>
          <w:bCs/>
          <w:color w:val="000000"/>
          <w:sz w:val="20"/>
          <w:szCs w:val="20"/>
        </w:rPr>
        <w:t xml:space="preserve">Proposal </w:t>
      </w:r>
      <w:r>
        <w:rPr>
          <w:b/>
          <w:bCs/>
          <w:color w:val="000000"/>
          <w:sz w:val="20"/>
          <w:szCs w:val="20"/>
        </w:rPr>
        <w:t>1:</w:t>
      </w:r>
      <w:r w:rsidRPr="00602370">
        <w:rPr>
          <w:b/>
          <w:bCs/>
          <w:color w:val="000000"/>
          <w:sz w:val="20"/>
          <w:szCs w:val="20"/>
        </w:rPr>
        <w:t xml:space="preserve"> For neighbour cell measurements, the existing RRM mechanism is applied, further enhancement is not needed.</w:t>
      </w:r>
      <w:r>
        <w:rPr>
          <w:b/>
          <w:bCs/>
          <w:color w:val="000000"/>
          <w:sz w:val="20"/>
          <w:szCs w:val="20"/>
        </w:rPr>
        <w:t xml:space="preserve"> </w:t>
      </w:r>
    </w:p>
    <w:p w14:paraId="3DBC546D" w14:textId="77777777" w:rsidR="005F36E8" w:rsidRPr="00602370" w:rsidRDefault="005F36E8" w:rsidP="005F36E8">
      <w:pPr>
        <w:suppressAutoHyphens/>
        <w:overflowPunct w:val="0"/>
        <w:autoSpaceDE w:val="0"/>
        <w:spacing w:after="120"/>
        <w:jc w:val="both"/>
        <w:textAlignment w:val="baseline"/>
        <w:rPr>
          <w:b/>
          <w:bCs/>
          <w:color w:val="000000"/>
          <w:sz w:val="20"/>
          <w:szCs w:val="20"/>
        </w:rPr>
      </w:pPr>
      <w:r w:rsidRPr="0086149A">
        <w:rPr>
          <w:b/>
          <w:bCs/>
          <w:color w:val="000000"/>
          <w:sz w:val="20"/>
          <w:szCs w:val="20"/>
        </w:rPr>
        <w:t xml:space="preserve">Proposal </w:t>
      </w:r>
      <w:r>
        <w:rPr>
          <w:b/>
          <w:bCs/>
          <w:color w:val="000000"/>
          <w:sz w:val="20"/>
          <w:szCs w:val="20"/>
        </w:rPr>
        <w:t>2:</w:t>
      </w:r>
      <w:r w:rsidRPr="00602370">
        <w:rPr>
          <w:b/>
          <w:bCs/>
          <w:color w:val="000000"/>
          <w:sz w:val="20"/>
          <w:szCs w:val="20"/>
        </w:rPr>
        <w:t xml:space="preserve"> F</w:t>
      </w:r>
      <w:r>
        <w:rPr>
          <w:b/>
          <w:bCs/>
          <w:color w:val="000000"/>
          <w:sz w:val="20"/>
          <w:szCs w:val="20"/>
        </w:rPr>
        <w:t>rom RAN2 perspective</w:t>
      </w:r>
      <w:r w:rsidRPr="00602370">
        <w:rPr>
          <w:b/>
          <w:bCs/>
          <w:color w:val="000000"/>
          <w:sz w:val="20"/>
          <w:szCs w:val="20"/>
        </w:rPr>
        <w:t>,</w:t>
      </w:r>
      <w:r>
        <w:rPr>
          <w:b/>
          <w:bCs/>
          <w:color w:val="000000"/>
          <w:sz w:val="20"/>
          <w:szCs w:val="20"/>
        </w:rPr>
        <w:t xml:space="preserve"> NCD-SSB could also be applicable for non-RedCap UEs.</w:t>
      </w:r>
    </w:p>
    <w:p w14:paraId="643ABA1C" w14:textId="77777777" w:rsidR="00036AD3" w:rsidRDefault="00C875F9" w:rsidP="00ED449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References</w:t>
      </w:r>
    </w:p>
    <w:bookmarkEnd w:id="3"/>
    <w:bookmarkEnd w:id="4"/>
    <w:p w14:paraId="7506A784" w14:textId="73B051D2" w:rsidR="00FB3A14" w:rsidRPr="00ED449C" w:rsidRDefault="00DF7B5A" w:rsidP="00ED449C">
      <w:pPr>
        <w:pStyle w:val="aa"/>
        <w:numPr>
          <w:ilvl w:val="0"/>
          <w:numId w:val="14"/>
        </w:numPr>
        <w:spacing w:after="0"/>
        <w:rPr>
          <w:szCs w:val="20"/>
        </w:rPr>
      </w:pPr>
      <w:r w:rsidRPr="00ED449C">
        <w:rPr>
          <w:szCs w:val="20"/>
          <w:lang w:eastAsia="zh-CN"/>
        </w:rPr>
        <w:t>R2-2206204</w:t>
      </w:r>
      <w:r w:rsidRPr="00ED449C">
        <w:rPr>
          <w:szCs w:val="20"/>
          <w:lang w:eastAsia="zh-CN"/>
        </w:rPr>
        <w:tab/>
        <w:t>[offline-105] NCD-SSB aspects – second round</w:t>
      </w:r>
      <w:r w:rsidRPr="00ED449C">
        <w:rPr>
          <w:szCs w:val="20"/>
          <w:lang w:eastAsia="zh-CN"/>
        </w:rPr>
        <w:tab/>
        <w:t>ZTE Corporation</w:t>
      </w:r>
    </w:p>
    <w:p w14:paraId="3B1C5BA1" w14:textId="77777777" w:rsidR="004A1A5C" w:rsidRDefault="004A1A5C" w:rsidP="00A94F46">
      <w:pPr>
        <w:pStyle w:val="aa"/>
        <w:rPr>
          <w:sz w:val="21"/>
        </w:rPr>
      </w:pPr>
    </w:p>
    <w:sectPr w:rsidR="004A1A5C"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50EA4" w14:textId="77777777" w:rsidR="00DA63EC" w:rsidRDefault="00DA63EC" w:rsidP="007E0497">
      <w:r>
        <w:separator/>
      </w:r>
    </w:p>
  </w:endnote>
  <w:endnote w:type="continuationSeparator" w:id="0">
    <w:p w14:paraId="3020DA36" w14:textId="77777777" w:rsidR="00DA63EC" w:rsidRDefault="00DA63EC"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0A0F5" w14:textId="77777777" w:rsidR="00DA63EC" w:rsidRDefault="00DA63EC" w:rsidP="007E0497">
      <w:r>
        <w:separator/>
      </w:r>
    </w:p>
  </w:footnote>
  <w:footnote w:type="continuationSeparator" w:id="0">
    <w:p w14:paraId="6C34B559" w14:textId="77777777" w:rsidR="00DA63EC" w:rsidRDefault="00DA63EC"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BC482C"/>
    <w:multiLevelType w:val="hybridMultilevel"/>
    <w:tmpl w:val="E9F02384"/>
    <w:lvl w:ilvl="0" w:tplc="763E9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4F4340"/>
    <w:multiLevelType w:val="hybridMultilevel"/>
    <w:tmpl w:val="370891B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0" w15:restartNumberingAfterBreak="0">
    <w:nsid w:val="25CC6BAF"/>
    <w:multiLevelType w:val="singleLevel"/>
    <w:tmpl w:val="25CC6BAF"/>
    <w:lvl w:ilvl="0">
      <w:start w:val="1"/>
      <w:numFmt w:val="decimal"/>
      <w:suff w:val="space"/>
      <w:lvlText w:val="%1."/>
      <w:lvlJc w:val="left"/>
    </w:lvl>
  </w:abstractNum>
  <w:abstractNum w:abstractNumId="1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AB3626"/>
    <w:multiLevelType w:val="hybridMultilevel"/>
    <w:tmpl w:val="0D4C7D82"/>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DF52AD8"/>
    <w:multiLevelType w:val="hybridMultilevel"/>
    <w:tmpl w:val="C7C2D214"/>
    <w:lvl w:ilvl="0" w:tplc="D1B22772">
      <w:start w:val="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7D0218"/>
    <w:multiLevelType w:val="hybridMultilevel"/>
    <w:tmpl w:val="370891B0"/>
    <w:lvl w:ilvl="0" w:tplc="B08427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F7829A4"/>
    <w:multiLevelType w:val="hybridMultilevel"/>
    <w:tmpl w:val="4FE6843E"/>
    <w:lvl w:ilvl="0" w:tplc="DE90E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4F771EC"/>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584221B9"/>
    <w:multiLevelType w:val="hybridMultilevel"/>
    <w:tmpl w:val="8B86F5BE"/>
    <w:lvl w:ilvl="0" w:tplc="474C89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EF1CB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28040B"/>
    <w:multiLevelType w:val="hybridMultilevel"/>
    <w:tmpl w:val="7F8C8CA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9"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757114B"/>
    <w:multiLevelType w:val="hybridMultilevel"/>
    <w:tmpl w:val="1BE8E6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631614">
    <w:abstractNumId w:val="30"/>
  </w:num>
  <w:num w:numId="2" w16cid:durableId="85884858">
    <w:abstractNumId w:val="17"/>
  </w:num>
  <w:num w:numId="3" w16cid:durableId="297149125">
    <w:abstractNumId w:val="28"/>
  </w:num>
  <w:num w:numId="4" w16cid:durableId="1376463747">
    <w:abstractNumId w:val="2"/>
  </w:num>
  <w:num w:numId="5" w16cid:durableId="951477656">
    <w:abstractNumId w:val="27"/>
  </w:num>
  <w:num w:numId="6" w16cid:durableId="1174150884">
    <w:abstractNumId w:val="11"/>
  </w:num>
  <w:num w:numId="7" w16cid:durableId="405150012">
    <w:abstractNumId w:val="5"/>
  </w:num>
  <w:num w:numId="8" w16cid:durableId="292491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3323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8617718">
    <w:abstractNumId w:val="10"/>
  </w:num>
  <w:num w:numId="11" w16cid:durableId="505559944">
    <w:abstractNumId w:val="20"/>
  </w:num>
  <w:num w:numId="12" w16cid:durableId="850723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5617922">
    <w:abstractNumId w:val="26"/>
  </w:num>
  <w:num w:numId="14" w16cid:durableId="15038857">
    <w:abstractNumId w:val="0"/>
  </w:num>
  <w:num w:numId="15" w16cid:durableId="408695517">
    <w:abstractNumId w:val="13"/>
  </w:num>
  <w:num w:numId="16" w16cid:durableId="1739590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9158695">
    <w:abstractNumId w:val="25"/>
  </w:num>
  <w:num w:numId="18" w16cid:durableId="1245382419">
    <w:abstractNumId w:val="31"/>
  </w:num>
  <w:num w:numId="19" w16cid:durableId="1177501714">
    <w:abstractNumId w:val="8"/>
  </w:num>
  <w:num w:numId="20" w16cid:durableId="2143108280">
    <w:abstractNumId w:val="6"/>
  </w:num>
  <w:num w:numId="21" w16cid:durableId="1288856409">
    <w:abstractNumId w:val="14"/>
  </w:num>
  <w:num w:numId="22" w16cid:durableId="867258190">
    <w:abstractNumId w:val="24"/>
  </w:num>
  <w:num w:numId="23" w16cid:durableId="1810628838">
    <w:abstractNumId w:val="4"/>
  </w:num>
  <w:num w:numId="24" w16cid:durableId="718214185">
    <w:abstractNumId w:val="22"/>
  </w:num>
  <w:num w:numId="25" w16cid:durableId="1867210973">
    <w:abstractNumId w:val="1"/>
  </w:num>
  <w:num w:numId="26" w16cid:durableId="1616058898">
    <w:abstractNumId w:val="21"/>
  </w:num>
  <w:num w:numId="27" w16cid:durableId="1309283023">
    <w:abstractNumId w:val="12"/>
  </w:num>
  <w:num w:numId="28" w16cid:durableId="10628686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5683791">
    <w:abstractNumId w:val="7"/>
  </w:num>
  <w:num w:numId="30" w16cid:durableId="840123329">
    <w:abstractNumId w:val="18"/>
  </w:num>
  <w:num w:numId="31" w16cid:durableId="114450582">
    <w:abstractNumId w:val="15"/>
  </w:num>
  <w:num w:numId="32" w16cid:durableId="602298502">
    <w:abstractNumId w:val="9"/>
  </w:num>
  <w:num w:numId="33" w16cid:durableId="13120992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MqgFALiorSg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4496"/>
    <w:rsid w:val="0001454B"/>
    <w:rsid w:val="00014662"/>
    <w:rsid w:val="00014D04"/>
    <w:rsid w:val="00014F8D"/>
    <w:rsid w:val="00015445"/>
    <w:rsid w:val="000157B2"/>
    <w:rsid w:val="000159BC"/>
    <w:rsid w:val="000159ED"/>
    <w:rsid w:val="00015A28"/>
    <w:rsid w:val="00015A87"/>
    <w:rsid w:val="00015BB4"/>
    <w:rsid w:val="00015F02"/>
    <w:rsid w:val="00016520"/>
    <w:rsid w:val="00016636"/>
    <w:rsid w:val="0001676B"/>
    <w:rsid w:val="000168B8"/>
    <w:rsid w:val="00016AC6"/>
    <w:rsid w:val="00016CE7"/>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39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599"/>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C4B"/>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2E62"/>
    <w:rsid w:val="00053004"/>
    <w:rsid w:val="00053160"/>
    <w:rsid w:val="000532DD"/>
    <w:rsid w:val="000534DE"/>
    <w:rsid w:val="000537F7"/>
    <w:rsid w:val="00053B4D"/>
    <w:rsid w:val="00053D7E"/>
    <w:rsid w:val="00053DC8"/>
    <w:rsid w:val="000540C0"/>
    <w:rsid w:val="0005462F"/>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DC"/>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4FC"/>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AB"/>
    <w:rsid w:val="00096C12"/>
    <w:rsid w:val="00096E01"/>
    <w:rsid w:val="00096F93"/>
    <w:rsid w:val="000974E4"/>
    <w:rsid w:val="0009777D"/>
    <w:rsid w:val="00097909"/>
    <w:rsid w:val="00097C62"/>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120"/>
    <w:rsid w:val="000E068D"/>
    <w:rsid w:val="000E095B"/>
    <w:rsid w:val="000E09B5"/>
    <w:rsid w:val="000E0F87"/>
    <w:rsid w:val="000E0FC7"/>
    <w:rsid w:val="000E1259"/>
    <w:rsid w:val="000E14BF"/>
    <w:rsid w:val="000E170C"/>
    <w:rsid w:val="000E18CC"/>
    <w:rsid w:val="000E1909"/>
    <w:rsid w:val="000E1AEC"/>
    <w:rsid w:val="000E1CFF"/>
    <w:rsid w:val="000E241E"/>
    <w:rsid w:val="000E2887"/>
    <w:rsid w:val="000E2C6A"/>
    <w:rsid w:val="000E2E9B"/>
    <w:rsid w:val="000E3022"/>
    <w:rsid w:val="000E3254"/>
    <w:rsid w:val="000E348C"/>
    <w:rsid w:val="000E38A8"/>
    <w:rsid w:val="000E38CF"/>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BCD"/>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F"/>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42D"/>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B07"/>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07E"/>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8E1"/>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1E"/>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68A"/>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2ECD"/>
    <w:rsid w:val="00263019"/>
    <w:rsid w:val="002631B8"/>
    <w:rsid w:val="00263388"/>
    <w:rsid w:val="002633A5"/>
    <w:rsid w:val="00263ACD"/>
    <w:rsid w:val="00263C1F"/>
    <w:rsid w:val="00263CEB"/>
    <w:rsid w:val="00263DD2"/>
    <w:rsid w:val="00263E67"/>
    <w:rsid w:val="002640A1"/>
    <w:rsid w:val="002648B0"/>
    <w:rsid w:val="00264E6F"/>
    <w:rsid w:val="002650D0"/>
    <w:rsid w:val="0026514D"/>
    <w:rsid w:val="002651D3"/>
    <w:rsid w:val="002653E0"/>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82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2EC"/>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5CC4"/>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63E"/>
    <w:rsid w:val="002A0762"/>
    <w:rsid w:val="002A0E29"/>
    <w:rsid w:val="002A10D4"/>
    <w:rsid w:val="002A1340"/>
    <w:rsid w:val="002A19F1"/>
    <w:rsid w:val="002A1C7D"/>
    <w:rsid w:val="002A1CAD"/>
    <w:rsid w:val="002A1D71"/>
    <w:rsid w:val="002A22A1"/>
    <w:rsid w:val="002A23CC"/>
    <w:rsid w:val="002A2461"/>
    <w:rsid w:val="002A24B4"/>
    <w:rsid w:val="002A2637"/>
    <w:rsid w:val="002A267E"/>
    <w:rsid w:val="002A335C"/>
    <w:rsid w:val="002A34BA"/>
    <w:rsid w:val="002A34F2"/>
    <w:rsid w:val="002A3533"/>
    <w:rsid w:val="002A3ABA"/>
    <w:rsid w:val="002A3EC8"/>
    <w:rsid w:val="002A3F96"/>
    <w:rsid w:val="002A403F"/>
    <w:rsid w:val="002A44E2"/>
    <w:rsid w:val="002A450A"/>
    <w:rsid w:val="002A45D8"/>
    <w:rsid w:val="002A4B57"/>
    <w:rsid w:val="002A50D7"/>
    <w:rsid w:val="002A5585"/>
    <w:rsid w:val="002A56A5"/>
    <w:rsid w:val="002A68D6"/>
    <w:rsid w:val="002A696C"/>
    <w:rsid w:val="002A6D2B"/>
    <w:rsid w:val="002A6E5E"/>
    <w:rsid w:val="002A774B"/>
    <w:rsid w:val="002A7758"/>
    <w:rsid w:val="002A787F"/>
    <w:rsid w:val="002A79B0"/>
    <w:rsid w:val="002A7BA4"/>
    <w:rsid w:val="002A7E53"/>
    <w:rsid w:val="002A7E56"/>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83C"/>
    <w:rsid w:val="002B5999"/>
    <w:rsid w:val="002B5BD6"/>
    <w:rsid w:val="002B5C42"/>
    <w:rsid w:val="002B6047"/>
    <w:rsid w:val="002B615C"/>
    <w:rsid w:val="002B6818"/>
    <w:rsid w:val="002B6B19"/>
    <w:rsid w:val="002B7006"/>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796"/>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B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1CBF"/>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067"/>
    <w:rsid w:val="002E3152"/>
    <w:rsid w:val="002E325A"/>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ECF"/>
    <w:rsid w:val="002F0F2F"/>
    <w:rsid w:val="002F11CC"/>
    <w:rsid w:val="002F12D8"/>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499"/>
    <w:rsid w:val="003278AF"/>
    <w:rsid w:val="00327C9B"/>
    <w:rsid w:val="00327E83"/>
    <w:rsid w:val="00327F78"/>
    <w:rsid w:val="00330057"/>
    <w:rsid w:val="003302F1"/>
    <w:rsid w:val="0033077D"/>
    <w:rsid w:val="003307F5"/>
    <w:rsid w:val="00330D5E"/>
    <w:rsid w:val="00330F36"/>
    <w:rsid w:val="003316B7"/>
    <w:rsid w:val="00331DE2"/>
    <w:rsid w:val="003324D7"/>
    <w:rsid w:val="00332638"/>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C01"/>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7B"/>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152"/>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373"/>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68"/>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86F"/>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7D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C9C"/>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41B"/>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8A"/>
    <w:rsid w:val="004507BE"/>
    <w:rsid w:val="00450CD8"/>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1E0"/>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B7A"/>
    <w:rsid w:val="004C2B8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9D"/>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74B"/>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868"/>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23D1"/>
    <w:rsid w:val="0050275A"/>
    <w:rsid w:val="00502997"/>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66D3"/>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3C"/>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DCB"/>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94F"/>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D2D"/>
    <w:rsid w:val="005B1E1C"/>
    <w:rsid w:val="005B2535"/>
    <w:rsid w:val="005B2853"/>
    <w:rsid w:val="005B2A0E"/>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D9C"/>
    <w:rsid w:val="005C3104"/>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20"/>
    <w:rsid w:val="005D1DA5"/>
    <w:rsid w:val="005D232F"/>
    <w:rsid w:val="005D26B8"/>
    <w:rsid w:val="005D278C"/>
    <w:rsid w:val="005D2AA0"/>
    <w:rsid w:val="005D2B93"/>
    <w:rsid w:val="005D2E20"/>
    <w:rsid w:val="005D3067"/>
    <w:rsid w:val="005D3441"/>
    <w:rsid w:val="005D3BE1"/>
    <w:rsid w:val="005D3F99"/>
    <w:rsid w:val="005D402F"/>
    <w:rsid w:val="005D4567"/>
    <w:rsid w:val="005D47E6"/>
    <w:rsid w:val="005D50F4"/>
    <w:rsid w:val="005D5127"/>
    <w:rsid w:val="005D519C"/>
    <w:rsid w:val="005D588C"/>
    <w:rsid w:val="005D5D2B"/>
    <w:rsid w:val="005D5D88"/>
    <w:rsid w:val="005D626D"/>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4F78"/>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0D7"/>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6E8"/>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370"/>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5E9"/>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981"/>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0AB4"/>
    <w:rsid w:val="006416DD"/>
    <w:rsid w:val="0064175A"/>
    <w:rsid w:val="00641AAB"/>
    <w:rsid w:val="00641C6F"/>
    <w:rsid w:val="00641CA2"/>
    <w:rsid w:val="00641CFB"/>
    <w:rsid w:val="00641DE1"/>
    <w:rsid w:val="00641FB1"/>
    <w:rsid w:val="00642285"/>
    <w:rsid w:val="00642618"/>
    <w:rsid w:val="00642662"/>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AE0"/>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5FF6"/>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D58"/>
    <w:rsid w:val="00665002"/>
    <w:rsid w:val="006651EE"/>
    <w:rsid w:val="00665422"/>
    <w:rsid w:val="006657ED"/>
    <w:rsid w:val="00665898"/>
    <w:rsid w:val="00665957"/>
    <w:rsid w:val="00665C5D"/>
    <w:rsid w:val="00666716"/>
    <w:rsid w:val="006668B6"/>
    <w:rsid w:val="006668C2"/>
    <w:rsid w:val="00666946"/>
    <w:rsid w:val="00666A90"/>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A63"/>
    <w:rsid w:val="00674B9E"/>
    <w:rsid w:val="00675144"/>
    <w:rsid w:val="00675A0C"/>
    <w:rsid w:val="00676060"/>
    <w:rsid w:val="006761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0AE"/>
    <w:rsid w:val="006843CB"/>
    <w:rsid w:val="0068455A"/>
    <w:rsid w:val="00684929"/>
    <w:rsid w:val="00684D4D"/>
    <w:rsid w:val="00684F60"/>
    <w:rsid w:val="006850F7"/>
    <w:rsid w:val="00685122"/>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7AD"/>
    <w:rsid w:val="00695987"/>
    <w:rsid w:val="00695BFE"/>
    <w:rsid w:val="00695EB9"/>
    <w:rsid w:val="006960F5"/>
    <w:rsid w:val="006960FC"/>
    <w:rsid w:val="006964BC"/>
    <w:rsid w:val="00696A75"/>
    <w:rsid w:val="00696C45"/>
    <w:rsid w:val="00696E31"/>
    <w:rsid w:val="006970C6"/>
    <w:rsid w:val="0069712C"/>
    <w:rsid w:val="00697184"/>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60D"/>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5034"/>
    <w:rsid w:val="006C51D6"/>
    <w:rsid w:val="006C57DE"/>
    <w:rsid w:val="006C60ED"/>
    <w:rsid w:val="006C6399"/>
    <w:rsid w:val="006C640B"/>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BFD"/>
    <w:rsid w:val="006F7C70"/>
    <w:rsid w:val="006F7E05"/>
    <w:rsid w:val="00700ACF"/>
    <w:rsid w:val="00700BAB"/>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CD"/>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659"/>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2C6"/>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57"/>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0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33"/>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9C6"/>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50A"/>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BB8"/>
    <w:rsid w:val="007E0DB4"/>
    <w:rsid w:val="007E0EEC"/>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A62"/>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20A"/>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9C3"/>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1DD2"/>
    <w:rsid w:val="00872187"/>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A3B"/>
    <w:rsid w:val="00887BDE"/>
    <w:rsid w:val="00887CEA"/>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76E"/>
    <w:rsid w:val="008D3083"/>
    <w:rsid w:val="008D3DE5"/>
    <w:rsid w:val="008D4013"/>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5C"/>
    <w:rsid w:val="008E7CB9"/>
    <w:rsid w:val="008E7D63"/>
    <w:rsid w:val="008E7D8C"/>
    <w:rsid w:val="008E7DFA"/>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977"/>
    <w:rsid w:val="008F397D"/>
    <w:rsid w:val="008F3A38"/>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4EB7"/>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C7A"/>
    <w:rsid w:val="00934D87"/>
    <w:rsid w:val="009350ED"/>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23"/>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88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87FE1"/>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428"/>
    <w:rsid w:val="009A6739"/>
    <w:rsid w:val="009A69FB"/>
    <w:rsid w:val="009A6A3D"/>
    <w:rsid w:val="009A6D70"/>
    <w:rsid w:val="009A6E7D"/>
    <w:rsid w:val="009A71A4"/>
    <w:rsid w:val="009A78ED"/>
    <w:rsid w:val="009A7B00"/>
    <w:rsid w:val="009A7BC0"/>
    <w:rsid w:val="009A7CB0"/>
    <w:rsid w:val="009B0097"/>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AD7"/>
    <w:rsid w:val="009B4C72"/>
    <w:rsid w:val="009B4CB4"/>
    <w:rsid w:val="009B501F"/>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750"/>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1F6"/>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A25"/>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6E5"/>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1B2"/>
    <w:rsid w:val="00A57FF7"/>
    <w:rsid w:val="00A6011D"/>
    <w:rsid w:val="00A601E7"/>
    <w:rsid w:val="00A60957"/>
    <w:rsid w:val="00A60B6E"/>
    <w:rsid w:val="00A60E1F"/>
    <w:rsid w:val="00A61313"/>
    <w:rsid w:val="00A61752"/>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98F"/>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138"/>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82A"/>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1B"/>
    <w:rsid w:val="00AD3D6A"/>
    <w:rsid w:val="00AD404A"/>
    <w:rsid w:val="00AD4968"/>
    <w:rsid w:val="00AD49A3"/>
    <w:rsid w:val="00AD4A8F"/>
    <w:rsid w:val="00AD53AA"/>
    <w:rsid w:val="00AD545D"/>
    <w:rsid w:val="00AD57C1"/>
    <w:rsid w:val="00AD591E"/>
    <w:rsid w:val="00AD5A35"/>
    <w:rsid w:val="00AD6374"/>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588C"/>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3B2"/>
    <w:rsid w:val="00B3159C"/>
    <w:rsid w:val="00B316A1"/>
    <w:rsid w:val="00B317E6"/>
    <w:rsid w:val="00B318B5"/>
    <w:rsid w:val="00B31D3E"/>
    <w:rsid w:val="00B31DDE"/>
    <w:rsid w:val="00B31F4D"/>
    <w:rsid w:val="00B32A26"/>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604"/>
    <w:rsid w:val="00B5365E"/>
    <w:rsid w:val="00B53928"/>
    <w:rsid w:val="00B539D3"/>
    <w:rsid w:val="00B53ABD"/>
    <w:rsid w:val="00B53B29"/>
    <w:rsid w:val="00B53D45"/>
    <w:rsid w:val="00B53D9B"/>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DDC"/>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BAA"/>
    <w:rsid w:val="00BB2C46"/>
    <w:rsid w:val="00BB2ED8"/>
    <w:rsid w:val="00BB301D"/>
    <w:rsid w:val="00BB30DB"/>
    <w:rsid w:val="00BB3151"/>
    <w:rsid w:val="00BB3346"/>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19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9D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67E"/>
    <w:rsid w:val="00C117BE"/>
    <w:rsid w:val="00C118D1"/>
    <w:rsid w:val="00C11B7E"/>
    <w:rsid w:val="00C126B6"/>
    <w:rsid w:val="00C12DB5"/>
    <w:rsid w:val="00C12DC4"/>
    <w:rsid w:val="00C13264"/>
    <w:rsid w:val="00C137D1"/>
    <w:rsid w:val="00C146DA"/>
    <w:rsid w:val="00C14700"/>
    <w:rsid w:val="00C14948"/>
    <w:rsid w:val="00C14985"/>
    <w:rsid w:val="00C14CAB"/>
    <w:rsid w:val="00C151D0"/>
    <w:rsid w:val="00C15477"/>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794"/>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5F0"/>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988"/>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11A"/>
    <w:rsid w:val="00C663BF"/>
    <w:rsid w:val="00C66596"/>
    <w:rsid w:val="00C66638"/>
    <w:rsid w:val="00C667F6"/>
    <w:rsid w:val="00C66893"/>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372"/>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6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21"/>
    <w:rsid w:val="00C86893"/>
    <w:rsid w:val="00C86991"/>
    <w:rsid w:val="00C8716E"/>
    <w:rsid w:val="00C871C6"/>
    <w:rsid w:val="00C8722A"/>
    <w:rsid w:val="00C87258"/>
    <w:rsid w:val="00C872EA"/>
    <w:rsid w:val="00C875F9"/>
    <w:rsid w:val="00C87830"/>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60E"/>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3E0"/>
    <w:rsid w:val="00CC442E"/>
    <w:rsid w:val="00CC4499"/>
    <w:rsid w:val="00CC4658"/>
    <w:rsid w:val="00CC4DAA"/>
    <w:rsid w:val="00CC4DC0"/>
    <w:rsid w:val="00CC5357"/>
    <w:rsid w:val="00CC56C5"/>
    <w:rsid w:val="00CC5982"/>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2E8"/>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156"/>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A8B"/>
    <w:rsid w:val="00D05BBF"/>
    <w:rsid w:val="00D05C94"/>
    <w:rsid w:val="00D05DFF"/>
    <w:rsid w:val="00D05E82"/>
    <w:rsid w:val="00D06751"/>
    <w:rsid w:val="00D06CC9"/>
    <w:rsid w:val="00D070DD"/>
    <w:rsid w:val="00D0738D"/>
    <w:rsid w:val="00D0740D"/>
    <w:rsid w:val="00D07520"/>
    <w:rsid w:val="00D07A39"/>
    <w:rsid w:val="00D07B88"/>
    <w:rsid w:val="00D07E5B"/>
    <w:rsid w:val="00D10230"/>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0B9"/>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B34"/>
    <w:rsid w:val="00D24E68"/>
    <w:rsid w:val="00D25387"/>
    <w:rsid w:val="00D2540B"/>
    <w:rsid w:val="00D2567C"/>
    <w:rsid w:val="00D256E9"/>
    <w:rsid w:val="00D257A5"/>
    <w:rsid w:val="00D258CF"/>
    <w:rsid w:val="00D25B95"/>
    <w:rsid w:val="00D25E28"/>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8D6"/>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52D"/>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31A"/>
    <w:rsid w:val="00D634F1"/>
    <w:rsid w:val="00D635CE"/>
    <w:rsid w:val="00D63B59"/>
    <w:rsid w:val="00D63C3F"/>
    <w:rsid w:val="00D63DCF"/>
    <w:rsid w:val="00D63FF3"/>
    <w:rsid w:val="00D640A8"/>
    <w:rsid w:val="00D64544"/>
    <w:rsid w:val="00D6476C"/>
    <w:rsid w:val="00D64853"/>
    <w:rsid w:val="00D64B57"/>
    <w:rsid w:val="00D64BD5"/>
    <w:rsid w:val="00D64C97"/>
    <w:rsid w:val="00D64D8E"/>
    <w:rsid w:val="00D650BC"/>
    <w:rsid w:val="00D65339"/>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5BD"/>
    <w:rsid w:val="00D70699"/>
    <w:rsid w:val="00D706B0"/>
    <w:rsid w:val="00D706CB"/>
    <w:rsid w:val="00D706E1"/>
    <w:rsid w:val="00D707DD"/>
    <w:rsid w:val="00D70AA9"/>
    <w:rsid w:val="00D7110F"/>
    <w:rsid w:val="00D71334"/>
    <w:rsid w:val="00D714E8"/>
    <w:rsid w:val="00D71A32"/>
    <w:rsid w:val="00D71EFC"/>
    <w:rsid w:val="00D7210D"/>
    <w:rsid w:val="00D7247B"/>
    <w:rsid w:val="00D724FA"/>
    <w:rsid w:val="00D726EE"/>
    <w:rsid w:val="00D72B38"/>
    <w:rsid w:val="00D72CBB"/>
    <w:rsid w:val="00D72D7A"/>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6E1"/>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3EC"/>
    <w:rsid w:val="00DA65D9"/>
    <w:rsid w:val="00DA6C5B"/>
    <w:rsid w:val="00DA6E2F"/>
    <w:rsid w:val="00DA6E5F"/>
    <w:rsid w:val="00DA6F87"/>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262"/>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3A"/>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D5B"/>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2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5A"/>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0EA"/>
    <w:rsid w:val="00E2010A"/>
    <w:rsid w:val="00E20269"/>
    <w:rsid w:val="00E20302"/>
    <w:rsid w:val="00E206E2"/>
    <w:rsid w:val="00E206FB"/>
    <w:rsid w:val="00E2080F"/>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B77"/>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3B3"/>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5FF"/>
    <w:rsid w:val="00E957C5"/>
    <w:rsid w:val="00E9589F"/>
    <w:rsid w:val="00E95A5D"/>
    <w:rsid w:val="00E962F8"/>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1ED6"/>
    <w:rsid w:val="00EA229E"/>
    <w:rsid w:val="00EA23F4"/>
    <w:rsid w:val="00EA26F4"/>
    <w:rsid w:val="00EA27CB"/>
    <w:rsid w:val="00EA2AE6"/>
    <w:rsid w:val="00EA2B7A"/>
    <w:rsid w:val="00EA2B8E"/>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51C"/>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9C"/>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3F2"/>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8"/>
    <w:rsid w:val="00EF4AFB"/>
    <w:rsid w:val="00EF4E5D"/>
    <w:rsid w:val="00EF54B8"/>
    <w:rsid w:val="00EF57CC"/>
    <w:rsid w:val="00EF5B97"/>
    <w:rsid w:val="00EF5C34"/>
    <w:rsid w:val="00EF5FE9"/>
    <w:rsid w:val="00EF64F0"/>
    <w:rsid w:val="00EF66F4"/>
    <w:rsid w:val="00EF6909"/>
    <w:rsid w:val="00EF6987"/>
    <w:rsid w:val="00EF6C4A"/>
    <w:rsid w:val="00EF6E3C"/>
    <w:rsid w:val="00EF7628"/>
    <w:rsid w:val="00EF7896"/>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37"/>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4AC"/>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CA1"/>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33F"/>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1D0"/>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4A4"/>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539"/>
    <w:rsid w:val="00F7482E"/>
    <w:rsid w:val="00F748DA"/>
    <w:rsid w:val="00F749D8"/>
    <w:rsid w:val="00F749EC"/>
    <w:rsid w:val="00F75027"/>
    <w:rsid w:val="00F750FE"/>
    <w:rsid w:val="00F75843"/>
    <w:rsid w:val="00F75EFF"/>
    <w:rsid w:val="00F75FBF"/>
    <w:rsid w:val="00F761E8"/>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43D"/>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348"/>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1E"/>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0DA"/>
    <w:rsid w:val="00FA31E7"/>
    <w:rsid w:val="00FA324A"/>
    <w:rsid w:val="00FA338A"/>
    <w:rsid w:val="00FA33FA"/>
    <w:rsid w:val="00FA38F0"/>
    <w:rsid w:val="00FA3C90"/>
    <w:rsid w:val="00FA443E"/>
    <w:rsid w:val="00FA46FF"/>
    <w:rsid w:val="00FA482C"/>
    <w:rsid w:val="00FA4B8A"/>
    <w:rsid w:val="00FA4C0A"/>
    <w:rsid w:val="00FA4EB5"/>
    <w:rsid w:val="00FA53DF"/>
    <w:rsid w:val="00FA564E"/>
    <w:rsid w:val="00FA567B"/>
    <w:rsid w:val="00FA5783"/>
    <w:rsid w:val="00FA591C"/>
    <w:rsid w:val="00FA5992"/>
    <w:rsid w:val="00FA5AB4"/>
    <w:rsid w:val="00FA5BCB"/>
    <w:rsid w:val="00FA61F7"/>
    <w:rsid w:val="00FA627D"/>
    <w:rsid w:val="00FA637E"/>
    <w:rsid w:val="00FA63AB"/>
    <w:rsid w:val="00FA642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14"/>
    <w:rsid w:val="00FB3ABA"/>
    <w:rsid w:val="00FB3AE4"/>
    <w:rsid w:val="00FB3B25"/>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6EA8"/>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5BD"/>
    <w:rsid w:val="00FC769B"/>
    <w:rsid w:val="00FC77D8"/>
    <w:rsid w:val="00FC7C4F"/>
    <w:rsid w:val="00FC7EAC"/>
    <w:rsid w:val="00FD0107"/>
    <w:rsid w:val="00FD0494"/>
    <w:rsid w:val="00FD04BB"/>
    <w:rsid w:val="00FD0642"/>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5D7E"/>
    <w:rsid w:val="00FF5EA0"/>
    <w:rsid w:val="00FF6158"/>
    <w:rsid w:val="00FF61B9"/>
    <w:rsid w:val="00FF6204"/>
    <w:rsid w:val="00FF6322"/>
    <w:rsid w:val="00FF71E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15216"/>
  <w15:docId w15:val="{A43A6AF7-16F6-4F6D-AE59-6F71161F0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497"/>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List Bullet"/>
    <w:basedOn w:val="a6"/>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6">
    <w:name w:val="List"/>
    <w:basedOn w:val="a"/>
    <w:qFormat/>
    <w:pPr>
      <w:spacing w:after="120"/>
      <w:ind w:left="283" w:hanging="283"/>
    </w:pPr>
    <w:rPr>
      <w:sz w:val="20"/>
      <w:lang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qFormat/>
    <w:pPr>
      <w:spacing w:after="120"/>
    </w:pPr>
    <w:rPr>
      <w:sz w:val="20"/>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b"/>
    <w:qFormat/>
    <w:pPr>
      <w:spacing w:after="120"/>
      <w:jc w:val="both"/>
    </w:pPr>
    <w:rPr>
      <w:rFonts w:eastAsia="MS Mincho"/>
      <w:sz w:val="20"/>
      <w:lang w:eastAsia="en-US"/>
    </w:rPr>
  </w:style>
  <w:style w:type="paragraph" w:styleId="2">
    <w:name w:val="List 2"/>
    <w:basedOn w:val="a6"/>
    <w:qFormat/>
    <w:pPr>
      <w:numPr>
        <w:numId w:val="1"/>
      </w:numPr>
      <w:spacing w:before="180"/>
    </w:pPr>
    <w:rPr>
      <w:rFonts w:ascii="Arial" w:hAnsi="Arial"/>
      <w:sz w:val="22"/>
      <w:szCs w:val="20"/>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spacing w:after="120"/>
    </w:pPr>
    <w:rPr>
      <w:sz w:val="18"/>
      <w:szCs w:val="18"/>
      <w:lang w:eastAsia="en-US"/>
    </w:rPr>
  </w:style>
  <w:style w:type="paragraph" w:styleId="ae">
    <w:name w:val="header"/>
    <w:basedOn w:val="a"/>
    <w:link w:val="af"/>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0">
    <w:name w:val="annotation subject"/>
    <w:basedOn w:val="a8"/>
    <w:next w:val="a8"/>
    <w:semiHidden/>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
    <w:link w:val="af6"/>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6"/>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5"/>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0"/>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 w:type="paragraph" w:customStyle="1" w:styleId="23">
    <w:name w:val="修订2"/>
    <w:hidden/>
    <w:uiPriority w:val="99"/>
    <w:semiHidden/>
    <w:qFormat/>
    <w:rPr>
      <w:sz w:val="24"/>
      <w:szCs w:val="24"/>
    </w:rPr>
  </w:style>
  <w:style w:type="paragraph" w:styleId="af7">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181747571">
      <w:bodyDiv w:val="1"/>
      <w:marLeft w:val="0"/>
      <w:marRight w:val="0"/>
      <w:marTop w:val="0"/>
      <w:marBottom w:val="0"/>
      <w:divBdr>
        <w:top w:val="none" w:sz="0" w:space="0" w:color="auto"/>
        <w:left w:val="none" w:sz="0" w:space="0" w:color="auto"/>
        <w:bottom w:val="none" w:sz="0" w:space="0" w:color="auto"/>
        <w:right w:val="none" w:sz="0" w:space="0" w:color="auto"/>
      </w:divBdr>
    </w:div>
    <w:div w:id="1551577633">
      <w:bodyDiv w:val="1"/>
      <w:marLeft w:val="0"/>
      <w:marRight w:val="0"/>
      <w:marTop w:val="0"/>
      <w:marBottom w:val="0"/>
      <w:divBdr>
        <w:top w:val="none" w:sz="0" w:space="0" w:color="auto"/>
        <w:left w:val="none" w:sz="0" w:space="0" w:color="auto"/>
        <w:bottom w:val="none" w:sz="0" w:space="0" w:color="auto"/>
        <w:right w:val="none" w:sz="0" w:space="0" w:color="auto"/>
      </w:divBdr>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1773432406">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050626-4689-4C20-BDE9-ED7D353A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869</Words>
  <Characters>4955</Characters>
  <Application>Microsoft Office Word</Application>
  <DocSecurity>0</DocSecurity>
  <Lines>41</Lines>
  <Paragraphs>11</Paragraphs>
  <ScaleCrop>false</ScaleCrop>
  <Company>vivo</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vivo_wyy</cp:lastModifiedBy>
  <cp:revision>3</cp:revision>
  <cp:lastPrinted>2020-07-22T11:45:00Z</cp:lastPrinted>
  <dcterms:created xsi:type="dcterms:W3CDTF">2022-08-10T08:22:00Z</dcterms:created>
  <dcterms:modified xsi:type="dcterms:W3CDTF">2022-08-10T08:22:00Z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ies>
</file>